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590" w:rsidRDefault="00D25590" w:rsidP="00106717">
      <w:pPr>
        <w:spacing w:after="120" w:line="240" w:lineRule="exact"/>
        <w:ind w:left="1267" w:right="1267"/>
        <w:jc w:val="both"/>
        <w:rPr>
          <w:rFonts w:ascii="Times New Roman" w:hAnsi="Times New Roman"/>
          <w:b/>
          <w:sz w:val="20"/>
        </w:rPr>
      </w:pPr>
      <w:r>
        <w:rPr>
          <w:rFonts w:ascii="Times New Roman" w:hAnsi="Times New Roman"/>
          <w:b/>
          <w:sz w:val="20"/>
        </w:rPr>
        <w:t>Representation of women at each stage of the staff selection process in the United Nations system, from 1 January 2010 to 31 December 2011</w:t>
      </w:r>
    </w:p>
    <w:p w:rsidR="00DC30DE" w:rsidRPr="00653099" w:rsidRDefault="00DC30DE" w:rsidP="00106717">
      <w:pPr>
        <w:spacing w:after="120" w:line="240" w:lineRule="exact"/>
        <w:ind w:left="1267" w:right="1267"/>
        <w:jc w:val="both"/>
        <w:rPr>
          <w:rFonts w:ascii="Times New Roman" w:hAnsi="Times New Roman"/>
          <w:sz w:val="20"/>
        </w:rPr>
      </w:pPr>
      <w:r w:rsidRPr="00653099">
        <w:rPr>
          <w:rFonts w:ascii="Times New Roman" w:hAnsi="Times New Roman"/>
          <w:sz w:val="20"/>
        </w:rPr>
        <w:t>Data on vacancies helps illustrate the journey of potential female candidates from application through to selection. By comparing the representation of women at each stage of the selection process, it is possible to identify where obstacles may exists and identify intervention points for actions such as special measures.</w:t>
      </w:r>
    </w:p>
    <w:p w:rsidR="00FB2D51" w:rsidRPr="00653099" w:rsidRDefault="00E74804" w:rsidP="00106717">
      <w:pPr>
        <w:spacing w:after="120" w:line="240" w:lineRule="exact"/>
        <w:ind w:left="1267" w:right="1267"/>
        <w:jc w:val="both"/>
        <w:rPr>
          <w:rFonts w:ascii="Times New Roman" w:hAnsi="Times New Roman"/>
          <w:sz w:val="20"/>
        </w:rPr>
      </w:pPr>
      <w:r>
        <w:rPr>
          <w:rFonts w:ascii="Times New Roman" w:hAnsi="Times New Roman"/>
          <w:sz w:val="20"/>
        </w:rPr>
        <w:t>Twenty</w:t>
      </w:r>
      <w:r w:rsidR="00DC30DE" w:rsidRPr="00653099">
        <w:rPr>
          <w:rFonts w:ascii="Times New Roman" w:hAnsi="Times New Roman"/>
          <w:sz w:val="20"/>
        </w:rPr>
        <w:t xml:space="preserve"> entities provided data on vacancies. </w:t>
      </w:r>
      <w:r w:rsidR="003C0106" w:rsidRPr="00653099">
        <w:rPr>
          <w:rFonts w:ascii="Times New Roman" w:hAnsi="Times New Roman"/>
          <w:sz w:val="20"/>
        </w:rPr>
        <w:t>Across all contracts and locations, a total of 4,806 vacancies were an</w:t>
      </w:r>
      <w:r w:rsidR="00FA62F0" w:rsidRPr="00653099">
        <w:rPr>
          <w:rFonts w:ascii="Times New Roman" w:hAnsi="Times New Roman"/>
          <w:sz w:val="20"/>
        </w:rPr>
        <w:t>nounced at the P-1 to UG levels</w:t>
      </w:r>
      <w:r w:rsidR="003C0106" w:rsidRPr="00653099">
        <w:rPr>
          <w:rFonts w:ascii="Times New Roman" w:hAnsi="Times New Roman"/>
          <w:sz w:val="20"/>
        </w:rPr>
        <w:t xml:space="preserve"> </w:t>
      </w:r>
      <w:r w:rsidR="00957582">
        <w:rPr>
          <w:rFonts w:ascii="Times New Roman" w:hAnsi="Times New Roman"/>
          <w:sz w:val="20"/>
        </w:rPr>
        <w:t>i</w:t>
      </w:r>
      <w:r w:rsidR="002B1449">
        <w:rPr>
          <w:rFonts w:ascii="Times New Roman" w:hAnsi="Times New Roman"/>
          <w:sz w:val="20"/>
        </w:rPr>
        <w:t xml:space="preserve">n 2010 and 2011 </w:t>
      </w:r>
      <w:r w:rsidR="003C0106" w:rsidRPr="00653099">
        <w:rPr>
          <w:rFonts w:ascii="Times New Roman" w:hAnsi="Times New Roman"/>
          <w:sz w:val="20"/>
        </w:rPr>
        <w:t xml:space="preserve">and </w:t>
      </w:r>
      <w:r w:rsidR="00FA62F0" w:rsidRPr="00653099">
        <w:rPr>
          <w:rFonts w:ascii="Times New Roman" w:hAnsi="Times New Roman"/>
          <w:sz w:val="20"/>
        </w:rPr>
        <w:t>527,447 applications were submitted, of which 38.1 per cent were submitted by women.</w:t>
      </w:r>
      <w:r w:rsidR="005929BA" w:rsidRPr="00653099">
        <w:rPr>
          <w:rFonts w:ascii="Times New Roman" w:hAnsi="Times New Roman"/>
          <w:sz w:val="20"/>
        </w:rPr>
        <w:t xml:space="preserve"> </w:t>
      </w:r>
      <w:r w:rsidR="00EF5799" w:rsidRPr="00653099">
        <w:rPr>
          <w:rFonts w:ascii="Times New Roman" w:hAnsi="Times New Roman"/>
          <w:sz w:val="20"/>
        </w:rPr>
        <w:t>Wo</w:t>
      </w:r>
      <w:r w:rsidR="00C4728F" w:rsidRPr="00653099">
        <w:rPr>
          <w:rFonts w:ascii="Times New Roman" w:hAnsi="Times New Roman"/>
          <w:sz w:val="20"/>
        </w:rPr>
        <w:t>men are underrepresented at ever</w:t>
      </w:r>
      <w:r w:rsidR="00EF5799" w:rsidRPr="00653099">
        <w:rPr>
          <w:rFonts w:ascii="Times New Roman" w:hAnsi="Times New Roman"/>
          <w:sz w:val="20"/>
        </w:rPr>
        <w:t>y stage of t</w:t>
      </w:r>
      <w:r w:rsidR="00582561" w:rsidRPr="00653099">
        <w:rPr>
          <w:rFonts w:ascii="Times New Roman" w:hAnsi="Times New Roman"/>
          <w:sz w:val="20"/>
        </w:rPr>
        <w:t>he application process, but</w:t>
      </w:r>
      <w:r w:rsidR="00EF5799" w:rsidRPr="00653099">
        <w:rPr>
          <w:rFonts w:ascii="Times New Roman" w:hAnsi="Times New Roman"/>
          <w:sz w:val="20"/>
        </w:rPr>
        <w:t xml:space="preserve"> a greater proportion of women are selected (43.1 per cent) compared to the proportion that apply</w:t>
      </w:r>
      <w:r w:rsidR="004179C4" w:rsidRPr="00653099">
        <w:rPr>
          <w:rFonts w:ascii="Times New Roman" w:hAnsi="Times New Roman"/>
          <w:sz w:val="20"/>
        </w:rPr>
        <w:t xml:space="preserve"> (38.1 per cent)</w:t>
      </w:r>
      <w:r w:rsidR="00EF5799" w:rsidRPr="00653099">
        <w:rPr>
          <w:rFonts w:ascii="Times New Roman" w:hAnsi="Times New Roman"/>
          <w:sz w:val="20"/>
        </w:rPr>
        <w:t xml:space="preserve">. </w:t>
      </w:r>
      <w:r w:rsidR="00582561" w:rsidRPr="00653099">
        <w:rPr>
          <w:rFonts w:ascii="Times New Roman" w:hAnsi="Times New Roman"/>
          <w:sz w:val="20"/>
        </w:rPr>
        <w:t>Notably</w:t>
      </w:r>
      <w:r w:rsidR="00EA4B37" w:rsidRPr="00653099">
        <w:rPr>
          <w:rFonts w:ascii="Times New Roman" w:hAnsi="Times New Roman"/>
          <w:sz w:val="20"/>
        </w:rPr>
        <w:t>, a smaller proportion of female applications are forwarded to the hiring manager</w:t>
      </w:r>
      <w:r w:rsidR="00582561" w:rsidRPr="00653099">
        <w:rPr>
          <w:rFonts w:ascii="Times New Roman" w:hAnsi="Times New Roman"/>
          <w:sz w:val="20"/>
        </w:rPr>
        <w:t xml:space="preserve"> </w:t>
      </w:r>
      <w:r w:rsidR="004179C4" w:rsidRPr="00653099">
        <w:rPr>
          <w:rFonts w:ascii="Times New Roman" w:hAnsi="Times New Roman"/>
          <w:sz w:val="20"/>
        </w:rPr>
        <w:t xml:space="preserve">(33.8 per cent) </w:t>
      </w:r>
      <w:r w:rsidR="00582561" w:rsidRPr="00653099">
        <w:rPr>
          <w:rFonts w:ascii="Times New Roman" w:hAnsi="Times New Roman"/>
          <w:sz w:val="20"/>
        </w:rPr>
        <w:t xml:space="preserve">compared to the proportion that apply, and a smaller proportion </w:t>
      </w:r>
      <w:r w:rsidR="008F2A8B" w:rsidRPr="00653099">
        <w:rPr>
          <w:rFonts w:ascii="Times New Roman" w:hAnsi="Times New Roman"/>
          <w:sz w:val="20"/>
        </w:rPr>
        <w:t xml:space="preserve">of female applicants are recommended </w:t>
      </w:r>
      <w:r w:rsidR="004179C4" w:rsidRPr="00653099">
        <w:rPr>
          <w:rFonts w:ascii="Times New Roman" w:hAnsi="Times New Roman"/>
          <w:sz w:val="20"/>
        </w:rPr>
        <w:t xml:space="preserve">(40.2 per cent) </w:t>
      </w:r>
      <w:r w:rsidR="008F2A8B" w:rsidRPr="00653099">
        <w:rPr>
          <w:rFonts w:ascii="Times New Roman" w:hAnsi="Times New Roman"/>
          <w:sz w:val="20"/>
        </w:rPr>
        <w:t xml:space="preserve">compared with </w:t>
      </w:r>
      <w:r w:rsidR="008166ED" w:rsidRPr="00653099">
        <w:rPr>
          <w:rFonts w:ascii="Times New Roman" w:hAnsi="Times New Roman"/>
          <w:sz w:val="20"/>
        </w:rPr>
        <w:t>the proportion that are interviewed</w:t>
      </w:r>
      <w:r w:rsidR="004179C4" w:rsidRPr="00653099">
        <w:rPr>
          <w:rFonts w:ascii="Times New Roman" w:hAnsi="Times New Roman"/>
          <w:sz w:val="20"/>
        </w:rPr>
        <w:t xml:space="preserve"> (42 per cent)</w:t>
      </w:r>
      <w:r w:rsidR="008166ED" w:rsidRPr="00653099">
        <w:rPr>
          <w:rFonts w:ascii="Times New Roman" w:hAnsi="Times New Roman"/>
          <w:sz w:val="20"/>
        </w:rPr>
        <w:t>.</w:t>
      </w:r>
      <w:r w:rsidR="00165E28" w:rsidRPr="00653099">
        <w:rPr>
          <w:rFonts w:ascii="Times New Roman" w:hAnsi="Times New Roman"/>
          <w:sz w:val="20"/>
        </w:rPr>
        <w:t xml:space="preserve"> </w:t>
      </w:r>
      <w:r w:rsidR="006130A6">
        <w:rPr>
          <w:rFonts w:ascii="Times New Roman" w:hAnsi="Times New Roman"/>
          <w:sz w:val="20"/>
        </w:rPr>
        <w:t>This implie</w:t>
      </w:r>
      <w:r w:rsidR="00FB2D51" w:rsidRPr="00653099">
        <w:rPr>
          <w:rFonts w:ascii="Times New Roman" w:hAnsi="Times New Roman"/>
          <w:sz w:val="20"/>
        </w:rPr>
        <w:t>s</w:t>
      </w:r>
      <w:r w:rsidR="00224446" w:rsidRPr="00653099">
        <w:rPr>
          <w:rFonts w:ascii="Times New Roman" w:hAnsi="Times New Roman"/>
          <w:sz w:val="20"/>
        </w:rPr>
        <w:t xml:space="preserve"> that one obstacle is </w:t>
      </w:r>
      <w:r w:rsidR="000532CC" w:rsidRPr="00653099">
        <w:rPr>
          <w:rFonts w:ascii="Times New Roman" w:hAnsi="Times New Roman"/>
          <w:sz w:val="20"/>
        </w:rPr>
        <w:t xml:space="preserve">a lack of qualified female </w:t>
      </w:r>
      <w:r w:rsidR="000532CC" w:rsidRPr="001C230C">
        <w:rPr>
          <w:rFonts w:ascii="Times New Roman" w:hAnsi="Times New Roman"/>
          <w:i/>
          <w:sz w:val="20"/>
        </w:rPr>
        <w:t>applicants</w:t>
      </w:r>
      <w:r w:rsidR="00A17638">
        <w:rPr>
          <w:rFonts w:ascii="Times New Roman" w:hAnsi="Times New Roman"/>
          <w:sz w:val="20"/>
        </w:rPr>
        <w:t>, as confirmed by the 20</w:t>
      </w:r>
      <w:r w:rsidR="000532CC" w:rsidRPr="00653099">
        <w:rPr>
          <w:rFonts w:ascii="Times New Roman" w:hAnsi="Times New Roman"/>
          <w:sz w:val="20"/>
        </w:rPr>
        <w:t xml:space="preserve"> entities who identified this as a major impediment to progress</w:t>
      </w:r>
      <w:r w:rsidR="00A17638">
        <w:rPr>
          <w:rFonts w:ascii="Times New Roman" w:hAnsi="Times New Roman"/>
          <w:sz w:val="20"/>
        </w:rPr>
        <w:t xml:space="preserve"> on</w:t>
      </w:r>
      <w:r w:rsidR="000E2A6B" w:rsidRPr="00653099">
        <w:rPr>
          <w:rFonts w:ascii="Times New Roman" w:hAnsi="Times New Roman"/>
          <w:sz w:val="20"/>
        </w:rPr>
        <w:t xml:space="preserve"> gender parity, </w:t>
      </w:r>
      <w:r w:rsidR="00FB2D51" w:rsidRPr="00653099">
        <w:rPr>
          <w:rFonts w:ascii="Times New Roman" w:hAnsi="Times New Roman"/>
          <w:sz w:val="20"/>
        </w:rPr>
        <w:t>and indicates that more work needs to be done to encourage applications from qualified women.</w:t>
      </w:r>
    </w:p>
    <w:p w:rsidR="00653099" w:rsidRPr="00106717" w:rsidRDefault="006C0F42" w:rsidP="00106717">
      <w:pPr>
        <w:spacing w:after="120" w:line="240" w:lineRule="exact"/>
        <w:ind w:left="1267" w:right="1267"/>
        <w:jc w:val="both"/>
        <w:rPr>
          <w:rFonts w:ascii="Times New Roman" w:hAnsi="Times New Roman"/>
          <w:b/>
          <w:sz w:val="20"/>
        </w:rPr>
      </w:pPr>
      <w:r>
        <w:rPr>
          <w:rFonts w:ascii="Times New Roman" w:hAnsi="Times New Roman"/>
          <w:b/>
          <w:sz w:val="20"/>
        </w:rPr>
        <w:t>Staff selection</w:t>
      </w:r>
      <w:r w:rsidR="003E2FD6" w:rsidRPr="00653099">
        <w:rPr>
          <w:rFonts w:ascii="Times New Roman" w:hAnsi="Times New Roman"/>
          <w:b/>
          <w:sz w:val="20"/>
        </w:rPr>
        <w:t xml:space="preserve"> by level</w:t>
      </w:r>
    </w:p>
    <w:p w:rsidR="00B0726F" w:rsidRDefault="00501595" w:rsidP="00106717">
      <w:pPr>
        <w:spacing w:after="120" w:line="240" w:lineRule="exact"/>
        <w:ind w:left="1267" w:right="1267"/>
        <w:jc w:val="both"/>
        <w:rPr>
          <w:rFonts w:ascii="Times New Roman" w:hAnsi="Times New Roman" w:cs="Arial"/>
          <w:sz w:val="20"/>
        </w:rPr>
      </w:pPr>
      <w:r>
        <w:rPr>
          <w:rFonts w:ascii="Times New Roman" w:hAnsi="Times New Roman" w:cs="Arial"/>
          <w:sz w:val="20"/>
        </w:rPr>
        <w:t xml:space="preserve">The proportion of female applications that are forwarded to the hiring manager serves as a good proxy for the proportion of </w:t>
      </w:r>
      <w:r w:rsidRPr="00501595">
        <w:rPr>
          <w:rFonts w:ascii="Times New Roman" w:hAnsi="Times New Roman" w:cs="Arial"/>
          <w:i/>
          <w:sz w:val="20"/>
        </w:rPr>
        <w:t>qualified</w:t>
      </w:r>
      <w:r w:rsidR="004D598A">
        <w:rPr>
          <w:rFonts w:ascii="Times New Roman" w:hAnsi="Times New Roman" w:cs="Arial"/>
          <w:sz w:val="20"/>
        </w:rPr>
        <w:t xml:space="preserve"> female applicants, since they will only be forwarded in cases where they fulfill the criteria. </w:t>
      </w:r>
      <w:r w:rsidR="00685F33">
        <w:rPr>
          <w:rFonts w:ascii="Times New Roman" w:hAnsi="Times New Roman" w:cs="Arial"/>
          <w:sz w:val="20"/>
        </w:rPr>
        <w:t xml:space="preserve">At </w:t>
      </w:r>
      <w:r w:rsidR="00772C5E">
        <w:rPr>
          <w:rFonts w:ascii="Times New Roman" w:hAnsi="Times New Roman" w:cs="Arial"/>
          <w:sz w:val="20"/>
        </w:rPr>
        <w:t>every level except UG, a larger</w:t>
      </w:r>
      <w:r w:rsidR="00685F33">
        <w:rPr>
          <w:rFonts w:ascii="Times New Roman" w:hAnsi="Times New Roman" w:cs="Arial"/>
          <w:sz w:val="20"/>
        </w:rPr>
        <w:t xml:space="preserve"> proportion of applications </w:t>
      </w:r>
      <w:r w:rsidR="00B0726F">
        <w:rPr>
          <w:rFonts w:ascii="Times New Roman" w:hAnsi="Times New Roman" w:cs="Arial"/>
          <w:sz w:val="20"/>
        </w:rPr>
        <w:t>are submitted by women than are forwarded to the hiring manager</w:t>
      </w:r>
      <w:r w:rsidR="00E552C7">
        <w:rPr>
          <w:rFonts w:ascii="Times New Roman" w:hAnsi="Times New Roman" w:cs="Arial"/>
          <w:sz w:val="20"/>
        </w:rPr>
        <w:t xml:space="preserve"> (Figure 10.1</w:t>
      </w:r>
      <w:r w:rsidR="00A11C73">
        <w:rPr>
          <w:rFonts w:ascii="Times New Roman" w:hAnsi="Times New Roman" w:cs="Arial"/>
          <w:sz w:val="20"/>
        </w:rPr>
        <w:t>)</w:t>
      </w:r>
      <w:r w:rsidR="00B0726F">
        <w:rPr>
          <w:rFonts w:ascii="Times New Roman" w:hAnsi="Times New Roman" w:cs="Arial"/>
          <w:sz w:val="20"/>
        </w:rPr>
        <w:t>. This means that the group of</w:t>
      </w:r>
      <w:r w:rsidR="00957582">
        <w:rPr>
          <w:rFonts w:ascii="Times New Roman" w:hAnsi="Times New Roman" w:cs="Arial"/>
          <w:sz w:val="20"/>
        </w:rPr>
        <w:t xml:space="preserve"> perceived</w:t>
      </w:r>
      <w:r w:rsidR="00B0726F">
        <w:rPr>
          <w:rFonts w:ascii="Times New Roman" w:hAnsi="Times New Roman" w:cs="Arial"/>
          <w:sz w:val="20"/>
        </w:rPr>
        <w:t xml:space="preserve"> </w:t>
      </w:r>
      <w:r w:rsidR="00B0726F" w:rsidRPr="006738B1">
        <w:rPr>
          <w:rFonts w:ascii="Times New Roman" w:hAnsi="Times New Roman" w:cs="Arial"/>
          <w:i/>
          <w:sz w:val="20"/>
        </w:rPr>
        <w:t>qualified</w:t>
      </w:r>
      <w:r w:rsidR="00B0726F">
        <w:rPr>
          <w:rFonts w:ascii="Times New Roman" w:hAnsi="Times New Roman" w:cs="Arial"/>
          <w:sz w:val="20"/>
        </w:rPr>
        <w:t xml:space="preserve"> female applicants is proportionally smaller than the overall group of female applicants, while the opposite is true for men.</w:t>
      </w:r>
    </w:p>
    <w:p w:rsidR="004F77F3" w:rsidRDefault="00B0726F" w:rsidP="00A17638">
      <w:pPr>
        <w:spacing w:after="120" w:line="240" w:lineRule="exact"/>
        <w:ind w:left="1267" w:right="1267"/>
        <w:jc w:val="both"/>
        <w:rPr>
          <w:rFonts w:ascii="Times New Roman" w:hAnsi="Times New Roman" w:cs="Arial"/>
          <w:sz w:val="20"/>
        </w:rPr>
      </w:pPr>
      <w:r>
        <w:rPr>
          <w:rFonts w:ascii="Times New Roman" w:hAnsi="Times New Roman" w:cs="Arial"/>
          <w:sz w:val="20"/>
        </w:rPr>
        <w:t>However, a greater proportion of female applications are forwarded to the hiring manager at the P-5 level (32 per cent) compared to the P-4 level (30.9 per cent)</w:t>
      </w:r>
      <w:r w:rsidR="005A6230">
        <w:rPr>
          <w:rFonts w:ascii="Times New Roman" w:hAnsi="Times New Roman" w:cs="Arial"/>
          <w:sz w:val="20"/>
        </w:rPr>
        <w:t xml:space="preserve">, and a similar trend can be observed at the UG (34.1 per cent) and D-2 levels (22.6 per cent). </w:t>
      </w:r>
      <w:r w:rsidR="00C55011">
        <w:rPr>
          <w:rFonts w:ascii="Times New Roman" w:hAnsi="Times New Roman" w:cs="Arial"/>
          <w:sz w:val="20"/>
        </w:rPr>
        <w:t>The fact that the proportion of female applications forwarded to the hiring manager is not inversely proportional to seniority</w:t>
      </w:r>
      <w:r w:rsidR="00470539">
        <w:rPr>
          <w:rFonts w:ascii="Times New Roman" w:hAnsi="Times New Roman" w:cs="Arial"/>
          <w:sz w:val="20"/>
        </w:rPr>
        <w:t xml:space="preserve">, suggests that the problem is not only a lack of qualified female applicants. </w:t>
      </w:r>
      <w:r w:rsidR="005A6230">
        <w:rPr>
          <w:rFonts w:ascii="Times New Roman" w:hAnsi="Times New Roman" w:cs="Arial"/>
          <w:sz w:val="20"/>
        </w:rPr>
        <w:t>Additionally, despite the fa</w:t>
      </w:r>
      <w:r w:rsidR="00470539">
        <w:rPr>
          <w:rFonts w:ascii="Times New Roman" w:hAnsi="Times New Roman" w:cs="Arial"/>
          <w:sz w:val="20"/>
        </w:rPr>
        <w:t xml:space="preserve">ct that proportionally more </w:t>
      </w:r>
      <w:r w:rsidR="00765315">
        <w:rPr>
          <w:rFonts w:ascii="Times New Roman" w:hAnsi="Times New Roman" w:cs="Arial"/>
          <w:sz w:val="20"/>
        </w:rPr>
        <w:t>female applications are forwarded to the hiring manager at the P-5 level, significantly fewer women are actually selected at this level (29.3 per cent) compared to the P-4 l</w:t>
      </w:r>
      <w:r w:rsidR="00326137">
        <w:rPr>
          <w:rFonts w:ascii="Times New Roman" w:hAnsi="Times New Roman" w:cs="Arial"/>
          <w:sz w:val="20"/>
        </w:rPr>
        <w:t>evel (46 per cent). This implie</w:t>
      </w:r>
      <w:r w:rsidR="00765315">
        <w:rPr>
          <w:rFonts w:ascii="Times New Roman" w:hAnsi="Times New Roman" w:cs="Arial"/>
          <w:sz w:val="20"/>
        </w:rPr>
        <w:t xml:space="preserve">s that </w:t>
      </w:r>
      <w:r w:rsidR="00326137">
        <w:rPr>
          <w:rFonts w:ascii="Times New Roman" w:hAnsi="Times New Roman" w:cs="Arial"/>
          <w:sz w:val="20"/>
        </w:rPr>
        <w:t>the obstacles to gender parity will not be overcome simply by increasing the proportion of qualified female applicants.</w:t>
      </w:r>
    </w:p>
    <w:p w:rsidR="00046E63" w:rsidRDefault="00412922" w:rsidP="00106717">
      <w:pPr>
        <w:spacing w:after="120" w:line="240" w:lineRule="exact"/>
        <w:ind w:left="1267" w:right="1267"/>
        <w:jc w:val="both"/>
        <w:rPr>
          <w:rFonts w:ascii="Times New Roman" w:hAnsi="Times New Roman"/>
          <w:sz w:val="20"/>
        </w:rPr>
      </w:pPr>
      <w:r>
        <w:rPr>
          <w:rFonts w:ascii="Times New Roman" w:hAnsi="Times New Roman"/>
          <w:sz w:val="20"/>
        </w:rPr>
        <w:t xml:space="preserve">At every level except UG, the </w:t>
      </w:r>
      <w:r w:rsidR="00A40496">
        <w:rPr>
          <w:rFonts w:ascii="Times New Roman" w:hAnsi="Times New Roman"/>
          <w:sz w:val="20"/>
        </w:rPr>
        <w:t>proportion of women s</w:t>
      </w:r>
      <w:r>
        <w:rPr>
          <w:rFonts w:ascii="Times New Roman" w:hAnsi="Times New Roman"/>
          <w:sz w:val="20"/>
        </w:rPr>
        <w:t xml:space="preserve">hortlisted for interview is greater than </w:t>
      </w:r>
      <w:r w:rsidR="00A40496">
        <w:rPr>
          <w:rFonts w:ascii="Times New Roman" w:hAnsi="Times New Roman"/>
          <w:sz w:val="20"/>
        </w:rPr>
        <w:t xml:space="preserve">the proportion of female applications forwarded to the hiring manager. </w:t>
      </w:r>
      <w:r w:rsidR="00180FCD">
        <w:rPr>
          <w:rFonts w:ascii="Times New Roman" w:hAnsi="Times New Roman"/>
          <w:sz w:val="20"/>
        </w:rPr>
        <w:t xml:space="preserve">This is a positive trend </w:t>
      </w:r>
      <w:r w:rsidR="006C0FC0">
        <w:rPr>
          <w:rFonts w:ascii="Times New Roman" w:hAnsi="Times New Roman"/>
          <w:sz w:val="20"/>
        </w:rPr>
        <w:t xml:space="preserve">that must be sustained. </w:t>
      </w:r>
      <w:r w:rsidR="00C8705B">
        <w:rPr>
          <w:rFonts w:ascii="Times New Roman" w:hAnsi="Times New Roman"/>
          <w:sz w:val="20"/>
        </w:rPr>
        <w:t xml:space="preserve">However, the difference is </w:t>
      </w:r>
      <w:r w:rsidR="00F85D18">
        <w:rPr>
          <w:rFonts w:ascii="Times New Roman" w:hAnsi="Times New Roman"/>
          <w:sz w:val="20"/>
        </w:rPr>
        <w:t xml:space="preserve">significantly </w:t>
      </w:r>
      <w:r w:rsidR="00C8705B">
        <w:rPr>
          <w:rFonts w:ascii="Times New Roman" w:hAnsi="Times New Roman"/>
          <w:sz w:val="20"/>
        </w:rPr>
        <w:t>smaller at the higher levels (P-5 to D-2</w:t>
      </w:r>
      <w:r w:rsidR="000F2CD2">
        <w:rPr>
          <w:rStyle w:val="FootnoteReference"/>
          <w:rFonts w:ascii="Times New Roman" w:hAnsi="Times New Roman"/>
          <w:sz w:val="20"/>
        </w:rPr>
        <w:footnoteReference w:id="1"/>
      </w:r>
      <w:r w:rsidR="00C8705B">
        <w:rPr>
          <w:rFonts w:ascii="Times New Roman" w:hAnsi="Times New Roman"/>
          <w:sz w:val="20"/>
        </w:rPr>
        <w:t>), compared to the lower levels (P-1 to P-4)</w:t>
      </w:r>
      <w:r w:rsidR="00F85D18">
        <w:rPr>
          <w:rStyle w:val="FootnoteReference"/>
          <w:rFonts w:ascii="Times New Roman" w:hAnsi="Times New Roman"/>
          <w:sz w:val="20"/>
        </w:rPr>
        <w:footnoteReference w:id="2"/>
      </w:r>
      <w:r w:rsidR="00C8705B">
        <w:rPr>
          <w:rFonts w:ascii="Times New Roman" w:hAnsi="Times New Roman"/>
          <w:sz w:val="20"/>
        </w:rPr>
        <w:t xml:space="preserve">. The impact is that proportionally fewer qualified female candidates are selected for interview </w:t>
      </w:r>
      <w:r w:rsidR="00C8705B">
        <w:rPr>
          <w:rFonts w:ascii="Times New Roman" w:hAnsi="Times New Roman"/>
          <w:sz w:val="20"/>
        </w:rPr>
        <w:lastRenderedPageBreak/>
        <w:t xml:space="preserve">at the </w:t>
      </w:r>
      <w:r w:rsidR="00F85D18">
        <w:rPr>
          <w:rFonts w:ascii="Times New Roman" w:hAnsi="Times New Roman"/>
          <w:sz w:val="20"/>
        </w:rPr>
        <w:t xml:space="preserve">higher </w:t>
      </w:r>
      <w:r w:rsidR="00C8705B">
        <w:rPr>
          <w:rFonts w:ascii="Times New Roman" w:hAnsi="Times New Roman"/>
          <w:sz w:val="20"/>
        </w:rPr>
        <w:t xml:space="preserve">levels </w:t>
      </w:r>
      <w:r w:rsidR="00F85D18">
        <w:rPr>
          <w:rFonts w:ascii="Times New Roman" w:hAnsi="Times New Roman"/>
          <w:sz w:val="20"/>
        </w:rPr>
        <w:t xml:space="preserve">(34.7 per cent) where progress is most needed, compared to the lower levels (44.7 per cent) where parity has already been achieved at some levels. This is particularly concerning at the P-5 level where the difference is smallest (3.9 per cent), and suggests that the </w:t>
      </w:r>
      <w:r w:rsidR="00A17638">
        <w:rPr>
          <w:rFonts w:ascii="Times New Roman" w:hAnsi="Times New Roman"/>
          <w:sz w:val="20"/>
        </w:rPr>
        <w:t xml:space="preserve">relatively </w:t>
      </w:r>
      <w:r w:rsidR="00F85D18">
        <w:rPr>
          <w:rFonts w:ascii="Times New Roman" w:hAnsi="Times New Roman"/>
          <w:sz w:val="20"/>
        </w:rPr>
        <w:t>higher proportion of qualified female candidates at this level is somewhat undermined by the short</w:t>
      </w:r>
      <w:r w:rsidR="006738B1">
        <w:rPr>
          <w:rFonts w:ascii="Times New Roman" w:hAnsi="Times New Roman"/>
          <w:sz w:val="20"/>
        </w:rPr>
        <w:t>-</w:t>
      </w:r>
      <w:r w:rsidR="00F85D18">
        <w:rPr>
          <w:rFonts w:ascii="Times New Roman" w:hAnsi="Times New Roman"/>
          <w:sz w:val="20"/>
        </w:rPr>
        <w:t>listing process.</w:t>
      </w:r>
    </w:p>
    <w:p w:rsidR="001405D5" w:rsidRDefault="00046E63" w:rsidP="00106717">
      <w:pPr>
        <w:spacing w:after="120" w:line="240" w:lineRule="exact"/>
        <w:ind w:left="1267" w:right="1267"/>
        <w:jc w:val="both"/>
        <w:rPr>
          <w:rFonts w:ascii="Times New Roman" w:hAnsi="Times New Roman"/>
          <w:sz w:val="20"/>
        </w:rPr>
      </w:pPr>
      <w:r>
        <w:rPr>
          <w:rFonts w:ascii="Times New Roman" w:hAnsi="Times New Roman"/>
          <w:sz w:val="20"/>
        </w:rPr>
        <w:t xml:space="preserve">At every level except P-1, the proportion of women selected is greater than the proportion of women on the list of recommended candidates. This is </w:t>
      </w:r>
      <w:r w:rsidR="007252A9">
        <w:rPr>
          <w:rFonts w:ascii="Times New Roman" w:hAnsi="Times New Roman"/>
          <w:sz w:val="20"/>
        </w:rPr>
        <w:t xml:space="preserve">an extremely positive trend and suggests that </w:t>
      </w:r>
      <w:r w:rsidR="00426330">
        <w:rPr>
          <w:rFonts w:ascii="Times New Roman" w:hAnsi="Times New Roman"/>
          <w:sz w:val="20"/>
        </w:rPr>
        <w:t xml:space="preserve">final selection authority is, to some extent, informed by the mandated goal of gender parity. However, </w:t>
      </w:r>
      <w:r w:rsidR="000F2CD2">
        <w:rPr>
          <w:rFonts w:ascii="Times New Roman" w:hAnsi="Times New Roman"/>
          <w:sz w:val="20"/>
        </w:rPr>
        <w:t>aggregated data for the higher levels (P-5 to D-2) shows that the proportion of women selected (29.8 per cent) is in fact lower than the proportion of women recommended (34.3 per cent)</w:t>
      </w:r>
      <w:r w:rsidR="001405D5">
        <w:rPr>
          <w:rFonts w:ascii="Times New Roman" w:hAnsi="Times New Roman"/>
          <w:sz w:val="20"/>
        </w:rPr>
        <w:t>. This is a particular concern</w:t>
      </w:r>
      <w:r w:rsidR="000F2CD2">
        <w:rPr>
          <w:rFonts w:ascii="Times New Roman" w:hAnsi="Times New Roman"/>
          <w:sz w:val="20"/>
        </w:rPr>
        <w:t xml:space="preserve"> </w:t>
      </w:r>
      <w:bookmarkStart w:id="0" w:name="_GoBack"/>
      <w:bookmarkEnd w:id="0"/>
      <w:r w:rsidR="001405D5">
        <w:rPr>
          <w:rFonts w:ascii="Times New Roman" w:hAnsi="Times New Roman"/>
          <w:sz w:val="20"/>
        </w:rPr>
        <w:t>and suggests that special measures may be required to guarantee the selection of equally or better qualified women at these levels.</w:t>
      </w:r>
    </w:p>
    <w:p w:rsidR="0064760F" w:rsidRDefault="00E552C7">
      <w:pPr>
        <w:rPr>
          <w:rFonts w:ascii="Times New Roman" w:hAnsi="Times New Roman"/>
          <w:sz w:val="20"/>
        </w:rPr>
      </w:pPr>
      <w:r>
        <w:rPr>
          <w:rFonts w:ascii="Times New Roman" w:hAnsi="Times New Roman"/>
          <w:sz w:val="20"/>
        </w:rPr>
        <w:t>Figure 10.1</w:t>
      </w:r>
    </w:p>
    <w:p w:rsidR="0064760F" w:rsidRPr="0064760F" w:rsidRDefault="0064760F">
      <w:pPr>
        <w:rPr>
          <w:rFonts w:ascii="Times New Roman" w:hAnsi="Times New Roman"/>
          <w:b/>
          <w:sz w:val="20"/>
          <w:vertAlign w:val="superscript"/>
        </w:rPr>
      </w:pPr>
      <w:r>
        <w:rPr>
          <w:rFonts w:ascii="Times New Roman" w:hAnsi="Times New Roman"/>
          <w:b/>
          <w:sz w:val="20"/>
        </w:rPr>
        <w:t xml:space="preserve">Percentage of women at each stage of the staff selection </w:t>
      </w:r>
      <w:proofErr w:type="spellStart"/>
      <w:r>
        <w:rPr>
          <w:rFonts w:ascii="Times New Roman" w:hAnsi="Times New Roman"/>
          <w:b/>
          <w:sz w:val="20"/>
        </w:rPr>
        <w:t>process</w:t>
      </w:r>
      <w:r w:rsidR="00E74804">
        <w:rPr>
          <w:rFonts w:ascii="Times New Roman" w:hAnsi="Times New Roman"/>
          <w:b/>
          <w:sz w:val="20"/>
          <w:vertAlign w:val="superscript"/>
        </w:rPr>
        <w:t>a</w:t>
      </w:r>
      <w:proofErr w:type="spellEnd"/>
      <w:r w:rsidR="004C3709">
        <w:rPr>
          <w:rFonts w:ascii="Times New Roman" w:hAnsi="Times New Roman"/>
          <w:b/>
          <w:sz w:val="20"/>
        </w:rPr>
        <w:t xml:space="preserve"> at all levels</w:t>
      </w:r>
      <w:r>
        <w:rPr>
          <w:rFonts w:ascii="Times New Roman" w:hAnsi="Times New Roman"/>
          <w:b/>
          <w:sz w:val="20"/>
        </w:rPr>
        <w:t xml:space="preserve"> of the United Nations system, on all contract types and at all locations, from 1 January 2010 to 31 December 2011</w:t>
      </w:r>
      <w:r w:rsidR="00E74804">
        <w:rPr>
          <w:rFonts w:ascii="Times New Roman" w:hAnsi="Times New Roman"/>
          <w:b/>
          <w:sz w:val="20"/>
          <w:vertAlign w:val="superscript"/>
        </w:rPr>
        <w:t>b</w:t>
      </w:r>
    </w:p>
    <w:p w:rsidR="0064760F" w:rsidRPr="0064760F" w:rsidRDefault="0064760F">
      <w:pPr>
        <w:rPr>
          <w:rFonts w:ascii="Times New Roman" w:hAnsi="Times New Roman"/>
          <w:b/>
          <w:sz w:val="20"/>
        </w:rPr>
      </w:pPr>
      <w:r>
        <w:rPr>
          <w:noProof/>
        </w:rPr>
        <w:drawing>
          <wp:inline distT="0" distB="0" distL="0" distR="0" wp14:anchorId="788A2552" wp14:editId="6F400831">
            <wp:extent cx="5353050" cy="3575050"/>
            <wp:effectExtent l="0" t="0" r="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405D5" w:rsidRPr="0064760F" w:rsidRDefault="0064760F">
      <w:pPr>
        <w:rPr>
          <w:rFonts w:ascii="Times New Roman" w:hAnsi="Times New Roman"/>
          <w:sz w:val="17"/>
          <w:szCs w:val="17"/>
        </w:rPr>
      </w:pPr>
      <w:r w:rsidRPr="0064760F">
        <w:rPr>
          <w:rFonts w:ascii="Times New Roman" w:hAnsi="Times New Roman"/>
          <w:i/>
          <w:sz w:val="17"/>
          <w:szCs w:val="17"/>
        </w:rPr>
        <w:t xml:space="preserve">Sources: </w:t>
      </w:r>
      <w:r w:rsidRPr="0064760F">
        <w:rPr>
          <w:rFonts w:ascii="Times New Roman" w:hAnsi="Times New Roman"/>
          <w:sz w:val="17"/>
          <w:szCs w:val="17"/>
        </w:rPr>
        <w:t>United Nations entities.</w:t>
      </w:r>
    </w:p>
    <w:p w:rsidR="00E74804" w:rsidRPr="00E74804" w:rsidRDefault="0064760F">
      <w:pPr>
        <w:rPr>
          <w:rFonts w:ascii="Times New Roman" w:hAnsi="Times New Roman"/>
          <w:sz w:val="17"/>
          <w:szCs w:val="17"/>
        </w:rPr>
      </w:pPr>
      <w:proofErr w:type="gramStart"/>
      <w:r w:rsidRPr="0064760F">
        <w:rPr>
          <w:rFonts w:ascii="Times New Roman" w:hAnsi="Times New Roman"/>
          <w:sz w:val="17"/>
          <w:szCs w:val="17"/>
          <w:vertAlign w:val="superscript"/>
        </w:rPr>
        <w:t>a</w:t>
      </w:r>
      <w:proofErr w:type="gramEnd"/>
      <w:r w:rsidRPr="0064760F">
        <w:rPr>
          <w:rFonts w:ascii="Times New Roman" w:hAnsi="Times New Roman"/>
          <w:sz w:val="17"/>
          <w:szCs w:val="17"/>
          <w:vertAlign w:val="superscript"/>
        </w:rPr>
        <w:t xml:space="preserve"> </w:t>
      </w:r>
      <w:r w:rsidR="00E74804">
        <w:rPr>
          <w:rFonts w:ascii="Times New Roman" w:hAnsi="Times New Roman"/>
          <w:sz w:val="17"/>
          <w:szCs w:val="17"/>
        </w:rPr>
        <w:t>Twenty entities provided data on propo</w:t>
      </w:r>
      <w:r w:rsidR="00957582">
        <w:rPr>
          <w:rFonts w:ascii="Times New Roman" w:hAnsi="Times New Roman"/>
          <w:sz w:val="17"/>
          <w:szCs w:val="17"/>
        </w:rPr>
        <w:t>rtion of female applications, 12</w:t>
      </w:r>
      <w:r w:rsidR="00E74804">
        <w:rPr>
          <w:rFonts w:ascii="Times New Roman" w:hAnsi="Times New Roman"/>
          <w:sz w:val="17"/>
          <w:szCs w:val="17"/>
        </w:rPr>
        <w:t xml:space="preserve"> on proportion forwarded to hiring managers, 13 on proportion shortlisted for interview, 14 on proportion recommended, and 16 on the proportion of women selected.</w:t>
      </w:r>
    </w:p>
    <w:p w:rsidR="0064760F" w:rsidRPr="0064760F" w:rsidRDefault="00E74804">
      <w:pPr>
        <w:rPr>
          <w:rFonts w:ascii="Times New Roman" w:hAnsi="Times New Roman"/>
          <w:sz w:val="17"/>
          <w:szCs w:val="17"/>
        </w:rPr>
      </w:pPr>
      <w:proofErr w:type="gramStart"/>
      <w:r>
        <w:rPr>
          <w:rFonts w:ascii="Times New Roman" w:hAnsi="Times New Roman"/>
          <w:sz w:val="17"/>
          <w:szCs w:val="17"/>
          <w:vertAlign w:val="superscript"/>
        </w:rPr>
        <w:t>b</w:t>
      </w:r>
      <w:proofErr w:type="gramEnd"/>
      <w:r>
        <w:rPr>
          <w:rFonts w:ascii="Times New Roman" w:hAnsi="Times New Roman"/>
          <w:sz w:val="17"/>
          <w:szCs w:val="17"/>
          <w:vertAlign w:val="superscript"/>
        </w:rPr>
        <w:t xml:space="preserve"> </w:t>
      </w:r>
      <w:r w:rsidR="0064760F" w:rsidRPr="0064760F">
        <w:rPr>
          <w:rFonts w:ascii="Times New Roman" w:hAnsi="Times New Roman"/>
          <w:sz w:val="17"/>
          <w:szCs w:val="17"/>
        </w:rPr>
        <w:t xml:space="preserve">Prepared on </w:t>
      </w:r>
      <w:r w:rsidR="00652E12">
        <w:rPr>
          <w:rFonts w:ascii="Times New Roman" w:hAnsi="Times New Roman"/>
          <w:sz w:val="17"/>
          <w:szCs w:val="17"/>
        </w:rPr>
        <w:t>t</w:t>
      </w:r>
      <w:r>
        <w:rPr>
          <w:rFonts w:ascii="Times New Roman" w:hAnsi="Times New Roman"/>
          <w:sz w:val="17"/>
          <w:szCs w:val="17"/>
        </w:rPr>
        <w:t>he basis of data submitted by 20</w:t>
      </w:r>
      <w:r w:rsidR="0064760F" w:rsidRPr="0064760F">
        <w:rPr>
          <w:rFonts w:ascii="Times New Roman" w:hAnsi="Times New Roman"/>
          <w:sz w:val="17"/>
          <w:szCs w:val="17"/>
        </w:rPr>
        <w:t xml:space="preserve"> United Nations entities.</w:t>
      </w:r>
    </w:p>
    <w:p w:rsidR="008A41D7" w:rsidRPr="00412922" w:rsidRDefault="00E23C94">
      <w:pPr>
        <w:rPr>
          <w:rFonts w:ascii="Times New Roman" w:hAnsi="Times New Roman"/>
          <w:sz w:val="20"/>
        </w:rPr>
      </w:pPr>
      <w:r>
        <w:rPr>
          <w:rFonts w:ascii="Times New Roman" w:hAnsi="Times New Roman"/>
          <w:sz w:val="20"/>
        </w:rPr>
        <w:t xml:space="preserve"> </w:t>
      </w:r>
    </w:p>
    <w:sectPr w:rsidR="008A41D7" w:rsidRPr="00412922" w:rsidSect="008A41D7">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4C4" w:rsidRDefault="006254C4">
      <w:r>
        <w:separator/>
      </w:r>
    </w:p>
  </w:endnote>
  <w:endnote w:type="continuationSeparator" w:id="0">
    <w:p w:rsidR="006254C4" w:rsidRDefault="0062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4C4" w:rsidRDefault="006254C4">
      <w:r>
        <w:separator/>
      </w:r>
    </w:p>
  </w:footnote>
  <w:footnote w:type="continuationSeparator" w:id="0">
    <w:p w:rsidR="006254C4" w:rsidRDefault="006254C4">
      <w:r>
        <w:continuationSeparator/>
      </w:r>
    </w:p>
  </w:footnote>
  <w:footnote w:id="1">
    <w:p w:rsidR="000F2CD2" w:rsidRPr="001405D5" w:rsidRDefault="000F2CD2">
      <w:pPr>
        <w:pStyle w:val="FootnoteText"/>
        <w:rPr>
          <w:rFonts w:ascii="Times New Roman" w:hAnsi="Times New Roman" w:cs="Times New Roman"/>
          <w:sz w:val="17"/>
          <w:szCs w:val="17"/>
        </w:rPr>
      </w:pPr>
      <w:r w:rsidRPr="001405D5">
        <w:rPr>
          <w:rStyle w:val="FootnoteReference"/>
          <w:rFonts w:ascii="Times New Roman" w:hAnsi="Times New Roman" w:cs="Times New Roman"/>
          <w:sz w:val="17"/>
          <w:szCs w:val="17"/>
        </w:rPr>
        <w:footnoteRef/>
      </w:r>
      <w:r w:rsidRPr="001405D5">
        <w:rPr>
          <w:rFonts w:ascii="Times New Roman" w:hAnsi="Times New Roman" w:cs="Times New Roman"/>
          <w:sz w:val="17"/>
          <w:szCs w:val="17"/>
        </w:rPr>
        <w:t xml:space="preserve"> UG is not included here because overall numbers are small</w:t>
      </w:r>
      <w:r w:rsidR="001405D5">
        <w:rPr>
          <w:rFonts w:ascii="Times New Roman" w:hAnsi="Times New Roman" w:cs="Times New Roman"/>
          <w:sz w:val="17"/>
          <w:szCs w:val="17"/>
        </w:rPr>
        <w:t xml:space="preserve"> and data is therefore subject to greater fluctuations</w:t>
      </w:r>
      <w:r w:rsidR="00A17638">
        <w:rPr>
          <w:rFonts w:ascii="Times New Roman" w:hAnsi="Times New Roman" w:cs="Times New Roman"/>
          <w:sz w:val="17"/>
          <w:szCs w:val="17"/>
        </w:rPr>
        <w:t>.</w:t>
      </w:r>
    </w:p>
  </w:footnote>
  <w:footnote w:id="2">
    <w:p w:rsidR="008155FA" w:rsidRDefault="008155FA">
      <w:pPr>
        <w:pStyle w:val="FootnoteText"/>
      </w:pPr>
      <w:r w:rsidRPr="001405D5">
        <w:rPr>
          <w:rStyle w:val="FootnoteReference"/>
          <w:rFonts w:ascii="Times New Roman" w:hAnsi="Times New Roman" w:cs="Times New Roman"/>
          <w:sz w:val="17"/>
          <w:szCs w:val="17"/>
        </w:rPr>
        <w:footnoteRef/>
      </w:r>
      <w:r w:rsidRPr="001405D5">
        <w:rPr>
          <w:rFonts w:ascii="Times New Roman" w:hAnsi="Times New Roman" w:cs="Times New Roman"/>
          <w:sz w:val="17"/>
          <w:szCs w:val="17"/>
        </w:rPr>
        <w:t xml:space="preserve"> There is a 3.8 per cent difference at the higher levels compared to 10.1 per cent at the lower levels.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638" w:rsidRPr="00A17638" w:rsidRDefault="00A17638">
    <w:pPr>
      <w:pStyle w:val="Header"/>
      <w:rPr>
        <w:rFonts w:ascii="Times New Roman" w:hAnsi="Times New Roman" w:cs="Times New Roman"/>
      </w:rPr>
    </w:pPr>
    <w:r w:rsidRPr="00A17638">
      <w:rPr>
        <w:rFonts w:ascii="Times New Roman" w:hAnsi="Times New Roman" w:cs="Times New Roman"/>
      </w:rPr>
      <w:t>Web Annex X</w:t>
    </w:r>
  </w:p>
  <w:p w:rsidR="00A17638" w:rsidRDefault="00A176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0DE"/>
    <w:rsid w:val="00046E63"/>
    <w:rsid w:val="000532CC"/>
    <w:rsid w:val="000A13DD"/>
    <w:rsid w:val="000C21C6"/>
    <w:rsid w:val="000E2A6B"/>
    <w:rsid w:val="000F2CD2"/>
    <w:rsid w:val="00106717"/>
    <w:rsid w:val="001405D5"/>
    <w:rsid w:val="00165E28"/>
    <w:rsid w:val="00180FCD"/>
    <w:rsid w:val="001C230C"/>
    <w:rsid w:val="001D1C77"/>
    <w:rsid w:val="00224446"/>
    <w:rsid w:val="002B1449"/>
    <w:rsid w:val="003216E5"/>
    <w:rsid w:val="00326137"/>
    <w:rsid w:val="003C0106"/>
    <w:rsid w:val="003E29D8"/>
    <w:rsid w:val="003E2FD6"/>
    <w:rsid w:val="00405087"/>
    <w:rsid w:val="00412922"/>
    <w:rsid w:val="004179C4"/>
    <w:rsid w:val="00426330"/>
    <w:rsid w:val="00470539"/>
    <w:rsid w:val="00472358"/>
    <w:rsid w:val="004C3709"/>
    <w:rsid w:val="004D598A"/>
    <w:rsid w:val="004F77F3"/>
    <w:rsid w:val="00501595"/>
    <w:rsid w:val="00517223"/>
    <w:rsid w:val="00525BA7"/>
    <w:rsid w:val="00582561"/>
    <w:rsid w:val="00592108"/>
    <w:rsid w:val="005929BA"/>
    <w:rsid w:val="005A6230"/>
    <w:rsid w:val="005C2616"/>
    <w:rsid w:val="006130A6"/>
    <w:rsid w:val="006254C4"/>
    <w:rsid w:val="00626F8F"/>
    <w:rsid w:val="0064760F"/>
    <w:rsid w:val="00652E12"/>
    <w:rsid w:val="00653099"/>
    <w:rsid w:val="006738B1"/>
    <w:rsid w:val="00685F33"/>
    <w:rsid w:val="006C0F42"/>
    <w:rsid w:val="006C0FC0"/>
    <w:rsid w:val="007252A9"/>
    <w:rsid w:val="007266CA"/>
    <w:rsid w:val="00760333"/>
    <w:rsid w:val="00765315"/>
    <w:rsid w:val="00772C5E"/>
    <w:rsid w:val="007A1A46"/>
    <w:rsid w:val="007F01EE"/>
    <w:rsid w:val="008155FA"/>
    <w:rsid w:val="008166ED"/>
    <w:rsid w:val="008A41D7"/>
    <w:rsid w:val="008F2A8B"/>
    <w:rsid w:val="009360FA"/>
    <w:rsid w:val="00957582"/>
    <w:rsid w:val="00964104"/>
    <w:rsid w:val="00A11C73"/>
    <w:rsid w:val="00A17638"/>
    <w:rsid w:val="00A40496"/>
    <w:rsid w:val="00A54C77"/>
    <w:rsid w:val="00AE0082"/>
    <w:rsid w:val="00B0726F"/>
    <w:rsid w:val="00B603EB"/>
    <w:rsid w:val="00BF41DB"/>
    <w:rsid w:val="00C4728F"/>
    <w:rsid w:val="00C55011"/>
    <w:rsid w:val="00C70073"/>
    <w:rsid w:val="00C8705B"/>
    <w:rsid w:val="00CC2A66"/>
    <w:rsid w:val="00CC482A"/>
    <w:rsid w:val="00CF07A9"/>
    <w:rsid w:val="00CF67ED"/>
    <w:rsid w:val="00D25590"/>
    <w:rsid w:val="00DC30DE"/>
    <w:rsid w:val="00E14402"/>
    <w:rsid w:val="00E23C94"/>
    <w:rsid w:val="00E552C7"/>
    <w:rsid w:val="00E74804"/>
    <w:rsid w:val="00EA4B37"/>
    <w:rsid w:val="00EF5799"/>
    <w:rsid w:val="00F85D18"/>
    <w:rsid w:val="00FA62F0"/>
    <w:rsid w:val="00FB2D51"/>
    <w:rsid w:val="00FB7827"/>
    <w:rsid w:val="00FC03CD"/>
    <w:rsid w:val="00FD542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5D18"/>
  </w:style>
  <w:style w:type="character" w:customStyle="1" w:styleId="FootnoteTextChar">
    <w:name w:val="Footnote Text Char"/>
    <w:basedOn w:val="DefaultParagraphFont"/>
    <w:link w:val="FootnoteText"/>
    <w:uiPriority w:val="99"/>
    <w:semiHidden/>
    <w:rsid w:val="00F85D18"/>
  </w:style>
  <w:style w:type="character" w:styleId="FootnoteReference">
    <w:name w:val="footnote reference"/>
    <w:basedOn w:val="DefaultParagraphFont"/>
    <w:uiPriority w:val="99"/>
    <w:semiHidden/>
    <w:unhideWhenUsed/>
    <w:rsid w:val="00F85D18"/>
    <w:rPr>
      <w:vertAlign w:val="superscript"/>
    </w:rPr>
  </w:style>
  <w:style w:type="paragraph" w:styleId="BalloonText">
    <w:name w:val="Balloon Text"/>
    <w:basedOn w:val="Normal"/>
    <w:link w:val="BalloonTextChar"/>
    <w:uiPriority w:val="99"/>
    <w:semiHidden/>
    <w:unhideWhenUsed/>
    <w:rsid w:val="0064760F"/>
    <w:rPr>
      <w:rFonts w:ascii="Tahoma" w:hAnsi="Tahoma" w:cs="Tahoma"/>
      <w:sz w:val="16"/>
      <w:szCs w:val="16"/>
    </w:rPr>
  </w:style>
  <w:style w:type="character" w:customStyle="1" w:styleId="BalloonTextChar">
    <w:name w:val="Balloon Text Char"/>
    <w:basedOn w:val="DefaultParagraphFont"/>
    <w:link w:val="BalloonText"/>
    <w:uiPriority w:val="99"/>
    <w:semiHidden/>
    <w:rsid w:val="0064760F"/>
    <w:rPr>
      <w:rFonts w:ascii="Tahoma" w:hAnsi="Tahoma" w:cs="Tahoma"/>
      <w:sz w:val="16"/>
      <w:szCs w:val="16"/>
    </w:rPr>
  </w:style>
  <w:style w:type="paragraph" w:styleId="Header">
    <w:name w:val="header"/>
    <w:basedOn w:val="Normal"/>
    <w:link w:val="HeaderChar"/>
    <w:uiPriority w:val="99"/>
    <w:unhideWhenUsed/>
    <w:rsid w:val="00A17638"/>
    <w:pPr>
      <w:tabs>
        <w:tab w:val="center" w:pos="4680"/>
        <w:tab w:val="right" w:pos="9360"/>
      </w:tabs>
    </w:pPr>
  </w:style>
  <w:style w:type="character" w:customStyle="1" w:styleId="HeaderChar">
    <w:name w:val="Header Char"/>
    <w:basedOn w:val="DefaultParagraphFont"/>
    <w:link w:val="Header"/>
    <w:uiPriority w:val="99"/>
    <w:rsid w:val="00A17638"/>
  </w:style>
  <w:style w:type="paragraph" w:styleId="Footer">
    <w:name w:val="footer"/>
    <w:basedOn w:val="Normal"/>
    <w:link w:val="FooterChar"/>
    <w:uiPriority w:val="99"/>
    <w:unhideWhenUsed/>
    <w:rsid w:val="00A17638"/>
    <w:pPr>
      <w:tabs>
        <w:tab w:val="center" w:pos="4680"/>
        <w:tab w:val="right" w:pos="9360"/>
      </w:tabs>
    </w:pPr>
  </w:style>
  <w:style w:type="character" w:customStyle="1" w:styleId="FooterChar">
    <w:name w:val="Footer Char"/>
    <w:basedOn w:val="DefaultParagraphFont"/>
    <w:link w:val="Footer"/>
    <w:uiPriority w:val="99"/>
    <w:rsid w:val="00A176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5D18"/>
  </w:style>
  <w:style w:type="character" w:customStyle="1" w:styleId="FootnoteTextChar">
    <w:name w:val="Footnote Text Char"/>
    <w:basedOn w:val="DefaultParagraphFont"/>
    <w:link w:val="FootnoteText"/>
    <w:uiPriority w:val="99"/>
    <w:semiHidden/>
    <w:rsid w:val="00F85D18"/>
  </w:style>
  <w:style w:type="character" w:styleId="FootnoteReference">
    <w:name w:val="footnote reference"/>
    <w:basedOn w:val="DefaultParagraphFont"/>
    <w:uiPriority w:val="99"/>
    <w:semiHidden/>
    <w:unhideWhenUsed/>
    <w:rsid w:val="00F85D18"/>
    <w:rPr>
      <w:vertAlign w:val="superscript"/>
    </w:rPr>
  </w:style>
  <w:style w:type="paragraph" w:styleId="BalloonText">
    <w:name w:val="Balloon Text"/>
    <w:basedOn w:val="Normal"/>
    <w:link w:val="BalloonTextChar"/>
    <w:uiPriority w:val="99"/>
    <w:semiHidden/>
    <w:unhideWhenUsed/>
    <w:rsid w:val="0064760F"/>
    <w:rPr>
      <w:rFonts w:ascii="Tahoma" w:hAnsi="Tahoma" w:cs="Tahoma"/>
      <w:sz w:val="16"/>
      <w:szCs w:val="16"/>
    </w:rPr>
  </w:style>
  <w:style w:type="character" w:customStyle="1" w:styleId="BalloonTextChar">
    <w:name w:val="Balloon Text Char"/>
    <w:basedOn w:val="DefaultParagraphFont"/>
    <w:link w:val="BalloonText"/>
    <w:uiPriority w:val="99"/>
    <w:semiHidden/>
    <w:rsid w:val="0064760F"/>
    <w:rPr>
      <w:rFonts w:ascii="Tahoma" w:hAnsi="Tahoma" w:cs="Tahoma"/>
      <w:sz w:val="16"/>
      <w:szCs w:val="16"/>
    </w:rPr>
  </w:style>
  <w:style w:type="paragraph" w:styleId="Header">
    <w:name w:val="header"/>
    <w:basedOn w:val="Normal"/>
    <w:link w:val="HeaderChar"/>
    <w:uiPriority w:val="99"/>
    <w:unhideWhenUsed/>
    <w:rsid w:val="00A17638"/>
    <w:pPr>
      <w:tabs>
        <w:tab w:val="center" w:pos="4680"/>
        <w:tab w:val="right" w:pos="9360"/>
      </w:tabs>
    </w:pPr>
  </w:style>
  <w:style w:type="character" w:customStyle="1" w:styleId="HeaderChar">
    <w:name w:val="Header Char"/>
    <w:basedOn w:val="DefaultParagraphFont"/>
    <w:link w:val="Header"/>
    <w:uiPriority w:val="99"/>
    <w:rsid w:val="00A17638"/>
  </w:style>
  <w:style w:type="paragraph" w:styleId="Footer">
    <w:name w:val="footer"/>
    <w:basedOn w:val="Normal"/>
    <w:link w:val="FooterChar"/>
    <w:uiPriority w:val="99"/>
    <w:unhideWhenUsed/>
    <w:rsid w:val="00A17638"/>
    <w:pPr>
      <w:tabs>
        <w:tab w:val="center" w:pos="4680"/>
        <w:tab w:val="right" w:pos="9360"/>
      </w:tabs>
    </w:pPr>
  </w:style>
  <w:style w:type="character" w:customStyle="1" w:styleId="FooterChar">
    <w:name w:val="Footer Char"/>
    <w:basedOn w:val="DefaultParagraphFont"/>
    <w:link w:val="Footer"/>
    <w:uiPriority w:val="99"/>
    <w:rsid w:val="00A17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bar"/>
        <c:grouping val="percentStacked"/>
        <c:varyColors val="0"/>
        <c:ser>
          <c:idx val="0"/>
          <c:order val="0"/>
          <c:tx>
            <c:strRef>
              <c:f>Graphs!$B$2</c:f>
              <c:strCache>
                <c:ptCount val="1"/>
                <c:pt idx="0">
                  <c:v>Applications</c:v>
                </c:pt>
              </c:strCache>
            </c:strRef>
          </c:tx>
          <c:spPr>
            <a:solidFill>
              <a:srgbClr val="555555"/>
            </a:solidFill>
            <a:ln w="25400">
              <a:noFill/>
            </a:ln>
          </c:spPr>
          <c:invertIfNegative val="0"/>
          <c:dLbls>
            <c:spPr>
              <a:noFill/>
              <a:ln w="25400">
                <a:noFill/>
              </a:ln>
            </c:spPr>
            <c:showLegendKey val="0"/>
            <c:showVal val="1"/>
            <c:showCatName val="0"/>
            <c:showSerName val="0"/>
            <c:showPercent val="0"/>
            <c:showBubbleSize val="0"/>
            <c:showLeaderLines val="0"/>
          </c:dLbls>
          <c:cat>
            <c:strRef>
              <c:f>Graphs!$A$3:$A$10</c:f>
              <c:strCache>
                <c:ptCount val="8"/>
                <c:pt idx="0">
                  <c:v>P1</c:v>
                </c:pt>
                <c:pt idx="1">
                  <c:v>P2</c:v>
                </c:pt>
                <c:pt idx="2">
                  <c:v>P3</c:v>
                </c:pt>
                <c:pt idx="3">
                  <c:v>P4</c:v>
                </c:pt>
                <c:pt idx="4">
                  <c:v>P5</c:v>
                </c:pt>
                <c:pt idx="5">
                  <c:v>D1</c:v>
                </c:pt>
                <c:pt idx="6">
                  <c:v>D2</c:v>
                </c:pt>
                <c:pt idx="7">
                  <c:v>UG</c:v>
                </c:pt>
              </c:strCache>
            </c:strRef>
          </c:cat>
          <c:val>
            <c:numRef>
              <c:f>Graphs!$B$3:$B$10</c:f>
              <c:numCache>
                <c:formatCode>#,###.####################################################################################</c:formatCode>
                <c:ptCount val="8"/>
                <c:pt idx="0">
                  <c:v>55.2</c:v>
                </c:pt>
                <c:pt idx="1">
                  <c:v>45.9</c:v>
                </c:pt>
                <c:pt idx="2">
                  <c:v>38.799999999999997</c:v>
                </c:pt>
                <c:pt idx="3">
                  <c:v>34.4</c:v>
                </c:pt>
                <c:pt idx="4">
                  <c:v>35.200000000000003</c:v>
                </c:pt>
                <c:pt idx="5">
                  <c:v>27.9</c:v>
                </c:pt>
                <c:pt idx="6">
                  <c:v>31.9</c:v>
                </c:pt>
                <c:pt idx="7">
                  <c:v>32.6</c:v>
                </c:pt>
              </c:numCache>
            </c:numRef>
          </c:val>
        </c:ser>
        <c:ser>
          <c:idx val="1"/>
          <c:order val="1"/>
          <c:tx>
            <c:strRef>
              <c:f>Graphs!$C$2</c:f>
              <c:strCache>
                <c:ptCount val="1"/>
                <c:pt idx="0">
                  <c:v>Forwarded to Hiring Manager</c:v>
                </c:pt>
              </c:strCache>
            </c:strRef>
          </c:tx>
          <c:spPr>
            <a:solidFill>
              <a:srgbClr val="9E9E9E"/>
            </a:solidFill>
            <a:ln w="25400">
              <a:noFill/>
            </a:ln>
          </c:spPr>
          <c:invertIfNegative val="0"/>
          <c:dLbls>
            <c:spPr>
              <a:noFill/>
              <a:ln w="25400">
                <a:noFill/>
              </a:ln>
            </c:spPr>
            <c:showLegendKey val="0"/>
            <c:showVal val="1"/>
            <c:showCatName val="0"/>
            <c:showSerName val="0"/>
            <c:showPercent val="0"/>
            <c:showBubbleSize val="0"/>
            <c:showLeaderLines val="0"/>
          </c:dLbls>
          <c:cat>
            <c:strRef>
              <c:f>Graphs!$A$3:$A$10</c:f>
              <c:strCache>
                <c:ptCount val="8"/>
                <c:pt idx="0">
                  <c:v>P1</c:v>
                </c:pt>
                <c:pt idx="1">
                  <c:v>P2</c:v>
                </c:pt>
                <c:pt idx="2">
                  <c:v>P3</c:v>
                </c:pt>
                <c:pt idx="3">
                  <c:v>P4</c:v>
                </c:pt>
                <c:pt idx="4">
                  <c:v>P5</c:v>
                </c:pt>
                <c:pt idx="5">
                  <c:v>D1</c:v>
                </c:pt>
                <c:pt idx="6">
                  <c:v>D2</c:v>
                </c:pt>
                <c:pt idx="7">
                  <c:v>UG</c:v>
                </c:pt>
              </c:strCache>
            </c:strRef>
          </c:cat>
          <c:val>
            <c:numRef>
              <c:f>Graphs!$C$3:$C$10</c:f>
              <c:numCache>
                <c:formatCode>General</c:formatCode>
                <c:ptCount val="8"/>
                <c:pt idx="0">
                  <c:v>44.9</c:v>
                </c:pt>
                <c:pt idx="1">
                  <c:v>38.9</c:v>
                </c:pt>
                <c:pt idx="2">
                  <c:v>35.9</c:v>
                </c:pt>
                <c:pt idx="3">
                  <c:v>30.9</c:v>
                </c:pt>
                <c:pt idx="4">
                  <c:v>32</c:v>
                </c:pt>
                <c:pt idx="5">
                  <c:v>22.8</c:v>
                </c:pt>
                <c:pt idx="6">
                  <c:v>22.6</c:v>
                </c:pt>
                <c:pt idx="7">
                  <c:v>34.1</c:v>
                </c:pt>
              </c:numCache>
            </c:numRef>
          </c:val>
        </c:ser>
        <c:ser>
          <c:idx val="2"/>
          <c:order val="2"/>
          <c:tx>
            <c:strRef>
              <c:f>Graphs!$D$2</c:f>
              <c:strCache>
                <c:ptCount val="1"/>
                <c:pt idx="0">
                  <c:v>Shortlisted for Interview</c:v>
                </c:pt>
              </c:strCache>
            </c:strRef>
          </c:tx>
          <c:spPr>
            <a:solidFill>
              <a:srgbClr val="727272"/>
            </a:solidFill>
            <a:ln w="25400">
              <a:noFill/>
            </a:ln>
          </c:spPr>
          <c:invertIfNegative val="0"/>
          <c:dLbls>
            <c:spPr>
              <a:noFill/>
              <a:ln w="25400">
                <a:noFill/>
              </a:ln>
            </c:spPr>
            <c:showLegendKey val="0"/>
            <c:showVal val="1"/>
            <c:showCatName val="0"/>
            <c:showSerName val="0"/>
            <c:showPercent val="0"/>
            <c:showBubbleSize val="0"/>
            <c:showLeaderLines val="0"/>
          </c:dLbls>
          <c:cat>
            <c:strRef>
              <c:f>Graphs!$A$3:$A$10</c:f>
              <c:strCache>
                <c:ptCount val="8"/>
                <c:pt idx="0">
                  <c:v>P1</c:v>
                </c:pt>
                <c:pt idx="1">
                  <c:v>P2</c:v>
                </c:pt>
                <c:pt idx="2">
                  <c:v>P3</c:v>
                </c:pt>
                <c:pt idx="3">
                  <c:v>P4</c:v>
                </c:pt>
                <c:pt idx="4">
                  <c:v>P5</c:v>
                </c:pt>
                <c:pt idx="5">
                  <c:v>D1</c:v>
                </c:pt>
                <c:pt idx="6">
                  <c:v>D2</c:v>
                </c:pt>
                <c:pt idx="7">
                  <c:v>UG</c:v>
                </c:pt>
              </c:strCache>
            </c:strRef>
          </c:cat>
          <c:val>
            <c:numRef>
              <c:f>Graphs!$D$3:$D$10</c:f>
              <c:numCache>
                <c:formatCode>General</c:formatCode>
                <c:ptCount val="8"/>
                <c:pt idx="0">
                  <c:v>83.3</c:v>
                </c:pt>
                <c:pt idx="1">
                  <c:v>49.8</c:v>
                </c:pt>
                <c:pt idx="2">
                  <c:v>48</c:v>
                </c:pt>
                <c:pt idx="3">
                  <c:v>40.9</c:v>
                </c:pt>
                <c:pt idx="4">
                  <c:v>35.9</c:v>
                </c:pt>
                <c:pt idx="5">
                  <c:v>31.1</c:v>
                </c:pt>
                <c:pt idx="6">
                  <c:v>29.6</c:v>
                </c:pt>
                <c:pt idx="7">
                  <c:v>30.8</c:v>
                </c:pt>
              </c:numCache>
            </c:numRef>
          </c:val>
        </c:ser>
        <c:ser>
          <c:idx val="3"/>
          <c:order val="3"/>
          <c:tx>
            <c:strRef>
              <c:f>Graphs!$E$2</c:f>
              <c:strCache>
                <c:ptCount val="1"/>
                <c:pt idx="0">
                  <c:v>Recommended</c:v>
                </c:pt>
              </c:strCache>
            </c:strRef>
          </c:tx>
          <c:spPr>
            <a:solidFill>
              <a:srgbClr val="464646"/>
            </a:solidFill>
            <a:ln w="25400">
              <a:noFill/>
            </a:ln>
          </c:spPr>
          <c:invertIfNegative val="0"/>
          <c:dLbls>
            <c:spPr>
              <a:noFill/>
              <a:ln w="25400">
                <a:noFill/>
              </a:ln>
            </c:spPr>
            <c:showLegendKey val="0"/>
            <c:showVal val="1"/>
            <c:showCatName val="0"/>
            <c:showSerName val="0"/>
            <c:showPercent val="0"/>
            <c:showBubbleSize val="0"/>
            <c:showLeaderLines val="0"/>
          </c:dLbls>
          <c:cat>
            <c:strRef>
              <c:f>Graphs!$A$3:$A$10</c:f>
              <c:strCache>
                <c:ptCount val="8"/>
                <c:pt idx="0">
                  <c:v>P1</c:v>
                </c:pt>
                <c:pt idx="1">
                  <c:v>P2</c:v>
                </c:pt>
                <c:pt idx="2">
                  <c:v>P3</c:v>
                </c:pt>
                <c:pt idx="3">
                  <c:v>P4</c:v>
                </c:pt>
                <c:pt idx="4">
                  <c:v>P5</c:v>
                </c:pt>
                <c:pt idx="5">
                  <c:v>D1</c:v>
                </c:pt>
                <c:pt idx="6">
                  <c:v>D2</c:v>
                </c:pt>
                <c:pt idx="7">
                  <c:v>UG</c:v>
                </c:pt>
              </c:strCache>
            </c:strRef>
          </c:cat>
          <c:val>
            <c:numRef>
              <c:f>Graphs!$E$3:$E$10</c:f>
              <c:numCache>
                <c:formatCode>General</c:formatCode>
                <c:ptCount val="8"/>
                <c:pt idx="0">
                  <c:v>86.7</c:v>
                </c:pt>
                <c:pt idx="1">
                  <c:v>47.1</c:v>
                </c:pt>
                <c:pt idx="2">
                  <c:v>45.1</c:v>
                </c:pt>
                <c:pt idx="3">
                  <c:v>39</c:v>
                </c:pt>
                <c:pt idx="4">
                  <c:v>35.4</c:v>
                </c:pt>
                <c:pt idx="5">
                  <c:v>28.5</c:v>
                </c:pt>
                <c:pt idx="6">
                  <c:v>24.4</c:v>
                </c:pt>
                <c:pt idx="7">
                  <c:v>37.5</c:v>
                </c:pt>
              </c:numCache>
            </c:numRef>
          </c:val>
        </c:ser>
        <c:ser>
          <c:idx val="4"/>
          <c:order val="4"/>
          <c:tx>
            <c:strRef>
              <c:f>Graphs!$F$2</c:f>
              <c:strCache>
                <c:ptCount val="1"/>
                <c:pt idx="0">
                  <c:v>Selected</c:v>
                </c:pt>
              </c:strCache>
            </c:strRef>
          </c:tx>
          <c:spPr>
            <a:solidFill>
              <a:srgbClr val="838383"/>
            </a:solidFill>
            <a:ln w="25400">
              <a:noFill/>
            </a:ln>
          </c:spPr>
          <c:invertIfNegative val="0"/>
          <c:dLbls>
            <c:spPr>
              <a:noFill/>
              <a:ln w="25400">
                <a:noFill/>
              </a:ln>
            </c:spPr>
            <c:showLegendKey val="0"/>
            <c:showVal val="1"/>
            <c:showCatName val="0"/>
            <c:showSerName val="0"/>
            <c:showPercent val="0"/>
            <c:showBubbleSize val="0"/>
            <c:showLeaderLines val="0"/>
          </c:dLbls>
          <c:cat>
            <c:strRef>
              <c:f>Graphs!$A$3:$A$10</c:f>
              <c:strCache>
                <c:ptCount val="8"/>
                <c:pt idx="0">
                  <c:v>P1</c:v>
                </c:pt>
                <c:pt idx="1">
                  <c:v>P2</c:v>
                </c:pt>
                <c:pt idx="2">
                  <c:v>P3</c:v>
                </c:pt>
                <c:pt idx="3">
                  <c:v>P4</c:v>
                </c:pt>
                <c:pt idx="4">
                  <c:v>P5</c:v>
                </c:pt>
                <c:pt idx="5">
                  <c:v>D1</c:v>
                </c:pt>
                <c:pt idx="6">
                  <c:v>D2</c:v>
                </c:pt>
                <c:pt idx="7">
                  <c:v>UG</c:v>
                </c:pt>
              </c:strCache>
            </c:strRef>
          </c:cat>
          <c:val>
            <c:numRef>
              <c:f>Graphs!$F$3:$F$10</c:f>
              <c:numCache>
                <c:formatCode>General</c:formatCode>
                <c:ptCount val="8"/>
                <c:pt idx="0">
                  <c:v>84.6</c:v>
                </c:pt>
                <c:pt idx="1">
                  <c:v>55.6</c:v>
                </c:pt>
                <c:pt idx="2">
                  <c:v>48.4</c:v>
                </c:pt>
                <c:pt idx="3">
                  <c:v>46</c:v>
                </c:pt>
                <c:pt idx="4">
                  <c:v>29.3</c:v>
                </c:pt>
                <c:pt idx="5">
                  <c:v>33</c:v>
                </c:pt>
                <c:pt idx="6">
                  <c:v>36.799999999999997</c:v>
                </c:pt>
                <c:pt idx="7">
                  <c:v>71.400000000000006</c:v>
                </c:pt>
              </c:numCache>
            </c:numRef>
          </c:val>
        </c:ser>
        <c:ser>
          <c:idx val="5"/>
          <c:order val="5"/>
          <c:tx>
            <c:strRef>
              <c:f>Graphs!$G$2</c:f>
              <c:strCache>
                <c:ptCount val="1"/>
                <c:pt idx="0">
                  <c:v>Overall Representation</c:v>
                </c:pt>
              </c:strCache>
            </c:strRef>
          </c:tx>
          <c:spPr>
            <a:solidFill>
              <a:srgbClr val="C1C1C1"/>
            </a:solidFill>
            <a:ln w="25400">
              <a:noFill/>
            </a:ln>
          </c:spPr>
          <c:invertIfNegative val="0"/>
          <c:dLbls>
            <c:spPr>
              <a:noFill/>
              <a:ln w="25400">
                <a:noFill/>
              </a:ln>
            </c:spPr>
            <c:showLegendKey val="0"/>
            <c:showVal val="1"/>
            <c:showCatName val="0"/>
            <c:showSerName val="0"/>
            <c:showPercent val="0"/>
            <c:showBubbleSize val="0"/>
            <c:showLeaderLines val="0"/>
          </c:dLbls>
          <c:cat>
            <c:strRef>
              <c:f>Graphs!$A$3:$A$10</c:f>
              <c:strCache>
                <c:ptCount val="8"/>
                <c:pt idx="0">
                  <c:v>P1</c:v>
                </c:pt>
                <c:pt idx="1">
                  <c:v>P2</c:v>
                </c:pt>
                <c:pt idx="2">
                  <c:v>P3</c:v>
                </c:pt>
                <c:pt idx="3">
                  <c:v>P4</c:v>
                </c:pt>
                <c:pt idx="4">
                  <c:v>P5</c:v>
                </c:pt>
                <c:pt idx="5">
                  <c:v>D1</c:v>
                </c:pt>
                <c:pt idx="6">
                  <c:v>D2</c:v>
                </c:pt>
                <c:pt idx="7">
                  <c:v>UG</c:v>
                </c:pt>
              </c:strCache>
            </c:strRef>
          </c:cat>
          <c:val>
            <c:numRef>
              <c:f>Graphs!$G$3:$G$10</c:f>
              <c:numCache>
                <c:formatCode>General</c:formatCode>
                <c:ptCount val="8"/>
                <c:pt idx="0">
                  <c:v>63</c:v>
                </c:pt>
                <c:pt idx="1">
                  <c:v>57.1</c:v>
                </c:pt>
                <c:pt idx="2">
                  <c:v>45.7</c:v>
                </c:pt>
                <c:pt idx="3">
                  <c:v>39.4</c:v>
                </c:pt>
                <c:pt idx="4">
                  <c:v>32.9</c:v>
                </c:pt>
                <c:pt idx="5">
                  <c:v>30</c:v>
                </c:pt>
                <c:pt idx="6">
                  <c:v>27.3</c:v>
                </c:pt>
                <c:pt idx="7">
                  <c:v>28.8</c:v>
                </c:pt>
              </c:numCache>
            </c:numRef>
          </c:val>
        </c:ser>
        <c:dLbls>
          <c:showLegendKey val="0"/>
          <c:showVal val="0"/>
          <c:showCatName val="0"/>
          <c:showSerName val="0"/>
          <c:showPercent val="0"/>
          <c:showBubbleSize val="0"/>
        </c:dLbls>
        <c:gapWidth val="150"/>
        <c:overlap val="100"/>
        <c:axId val="87737088"/>
        <c:axId val="87739008"/>
      </c:barChart>
      <c:catAx>
        <c:axId val="87737088"/>
        <c:scaling>
          <c:orientation val="minMax"/>
        </c:scaling>
        <c:delete val="0"/>
        <c:axPos val="l"/>
        <c:title>
          <c:tx>
            <c:rich>
              <a:bodyPr/>
              <a:lstStyle/>
              <a:p>
                <a:pPr>
                  <a:defRPr/>
                </a:pPr>
                <a:r>
                  <a:rPr lang="en-US"/>
                  <a:t>Level</a:t>
                </a:r>
              </a:p>
            </c:rich>
          </c:tx>
          <c:layout/>
          <c:overlay val="0"/>
          <c:spPr>
            <a:noFill/>
            <a:ln w="25400">
              <a:noFill/>
            </a:ln>
          </c:spPr>
        </c:title>
        <c:numFmt formatCode="General" sourceLinked="1"/>
        <c:majorTickMark val="out"/>
        <c:minorTickMark val="none"/>
        <c:tickLblPos val="nextTo"/>
        <c:spPr>
          <a:ln w="3175">
            <a:solidFill>
              <a:srgbClr val="808080"/>
            </a:solidFill>
            <a:prstDash val="solid"/>
          </a:ln>
        </c:spPr>
        <c:crossAx val="87739008"/>
        <c:crosses val="autoZero"/>
        <c:auto val="1"/>
        <c:lblAlgn val="ctr"/>
        <c:lblOffset val="100"/>
        <c:noMultiLvlLbl val="0"/>
      </c:catAx>
      <c:valAx>
        <c:axId val="87739008"/>
        <c:scaling>
          <c:orientation val="minMax"/>
        </c:scaling>
        <c:delete val="0"/>
        <c:axPos val="b"/>
        <c:majorGridlines>
          <c:spPr>
            <a:ln w="3175">
              <a:solidFill>
                <a:srgbClr val="808080"/>
              </a:solidFill>
              <a:prstDash val="solid"/>
            </a:ln>
          </c:spPr>
        </c:majorGridlines>
        <c:title>
          <c:tx>
            <c:rich>
              <a:bodyPr/>
              <a:lstStyle/>
              <a:p>
                <a:pPr>
                  <a:defRPr/>
                </a:pPr>
                <a:r>
                  <a:rPr lang="en-US"/>
                  <a:t>Percentage</a:t>
                </a:r>
              </a:p>
            </c:rich>
          </c:tx>
          <c:layout/>
          <c:overlay val="0"/>
          <c:spPr>
            <a:noFill/>
            <a:ln w="25400">
              <a:noFill/>
            </a:ln>
          </c:spPr>
        </c:title>
        <c:numFmt formatCode="0%" sourceLinked="1"/>
        <c:majorTickMark val="out"/>
        <c:minorTickMark val="none"/>
        <c:tickLblPos val="none"/>
        <c:spPr>
          <a:ln w="3175">
            <a:solidFill>
              <a:srgbClr val="808080"/>
            </a:solidFill>
            <a:prstDash val="solid"/>
          </a:ln>
        </c:spPr>
        <c:crossAx val="87737088"/>
        <c:crosses val="autoZero"/>
        <c:crossBetween val="between"/>
      </c:valAx>
      <c:spPr>
        <a:solidFill>
          <a:srgbClr val="FFFFFF"/>
        </a:solidFill>
        <a:ln w="25400">
          <a:noFill/>
        </a:ln>
      </c:spPr>
    </c:plotArea>
    <c:legend>
      <c:legendPos val="r"/>
      <c:layout>
        <c:manualLayout>
          <c:xMode val="edge"/>
          <c:yMode val="edge"/>
          <c:x val="0.66905244179003565"/>
          <c:y val="0.36480731754024309"/>
          <c:w val="0.32379286220707204"/>
          <c:h val="0.28755387336239624"/>
        </c:manualLayout>
      </c:layout>
      <c:overlay val="0"/>
      <c:spPr>
        <a:noFill/>
        <a:ln w="25400">
          <a:noFill/>
        </a:ln>
      </c:spPr>
    </c:legend>
    <c:plotVisOnly val="1"/>
    <c:dispBlanksAs val="gap"/>
    <c:showDLblsOverMax val="0"/>
  </c:chart>
  <c:spPr>
    <a:solidFill>
      <a:srgbClr val="FFFFFF"/>
    </a:solidFill>
    <a:ln w="12700">
      <a:solidFill>
        <a:srgbClr val="333333"/>
      </a:solidFill>
      <a:prstDash val="solid"/>
    </a:ln>
  </c:spPr>
  <c:txPr>
    <a:bodyPr/>
    <a:lstStyle/>
    <a:p>
      <a:pPr>
        <a:defRPr>
          <a:latin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B43A5-CE00-405F-961E-96968689C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Peaker</dc:creator>
  <cp:lastModifiedBy>Marilyn Dawson</cp:lastModifiedBy>
  <cp:revision>2</cp:revision>
  <cp:lastPrinted>2012-10-12T18:58:00Z</cp:lastPrinted>
  <dcterms:created xsi:type="dcterms:W3CDTF">2012-10-12T19:05:00Z</dcterms:created>
  <dcterms:modified xsi:type="dcterms:W3CDTF">2012-10-12T19:05:00Z</dcterms:modified>
</cp:coreProperties>
</file>