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00" w:rsidRDefault="009E686A" w:rsidP="00800000">
      <w:pPr>
        <w:widowControl w:val="0"/>
        <w:overflowPunct w:val="0"/>
        <w:autoSpaceDE w:val="0"/>
        <w:autoSpaceDN w:val="0"/>
        <w:adjustRightInd w:val="0"/>
        <w:spacing w:after="0" w:line="281" w:lineRule="auto"/>
        <w:ind w:left="40" w:right="220"/>
        <w:jc w:val="both"/>
        <w:rPr>
          <w:rFonts w:ascii="Times New Roman" w:hAnsi="Times New Roman" w:cs="Times New Roman"/>
          <w:sz w:val="24"/>
          <w:szCs w:val="24"/>
        </w:rPr>
      </w:pPr>
      <w:bookmarkStart w:id="0" w:name="_GoBack"/>
      <w:bookmarkEnd w:id="0"/>
      <w:r>
        <w:rPr>
          <w:rFonts w:ascii="Times New Roman" w:hAnsi="Times New Roman" w:cs="Times New Roman"/>
          <w:b/>
          <w:bCs/>
          <w:color w:val="000000"/>
          <w:sz w:val="24"/>
          <w:szCs w:val="24"/>
        </w:rPr>
        <w:t>Matrix of policies and practices of the United Nations entities related to gender balance, based on data from the Entity Survey</w:t>
      </w:r>
    </w:p>
    <w:tbl>
      <w:tblPr>
        <w:tblStyle w:val="TableGrid"/>
        <w:tblW w:w="15120" w:type="dxa"/>
        <w:tblInd w:w="-1152" w:type="dxa"/>
        <w:tblLayout w:type="fixed"/>
        <w:tblLook w:val="04A0" w:firstRow="1" w:lastRow="0" w:firstColumn="1" w:lastColumn="0" w:noHBand="0" w:noVBand="1"/>
      </w:tblPr>
      <w:tblGrid>
        <w:gridCol w:w="900"/>
        <w:gridCol w:w="990"/>
        <w:gridCol w:w="900"/>
        <w:gridCol w:w="810"/>
        <w:gridCol w:w="810"/>
        <w:gridCol w:w="1800"/>
        <w:gridCol w:w="4770"/>
        <w:gridCol w:w="4140"/>
      </w:tblGrid>
      <w:tr w:rsidR="00800000" w:rsidRPr="005F5C0E" w:rsidTr="003E5891">
        <w:trPr>
          <w:trHeight w:val="300"/>
        </w:trPr>
        <w:tc>
          <w:tcPr>
            <w:tcW w:w="900" w:type="dxa"/>
            <w:shd w:val="clear" w:color="auto" w:fill="BFBFBF" w:themeFill="background1" w:themeFillShade="BF"/>
            <w:noWrap/>
            <w:hideMark/>
          </w:tcPr>
          <w:p w:rsidR="00800000" w:rsidRPr="005F5C0E" w:rsidRDefault="00800000" w:rsidP="003E5891">
            <w:pPr>
              <w:rPr>
                <w:rFonts w:ascii="Times New Roman" w:hAnsi="Times New Roman" w:cs="Times New Roman"/>
                <w:b/>
                <w:sz w:val="16"/>
                <w:szCs w:val="16"/>
              </w:rPr>
            </w:pPr>
          </w:p>
        </w:tc>
        <w:tc>
          <w:tcPr>
            <w:tcW w:w="990" w:type="dxa"/>
            <w:shd w:val="clear" w:color="auto" w:fill="BFBFBF" w:themeFill="background1" w:themeFillShade="BF"/>
            <w:noWrap/>
            <w:hideMark/>
          </w:tcPr>
          <w:p w:rsidR="00800000" w:rsidRPr="005F5C0E" w:rsidRDefault="00800000" w:rsidP="003E5891">
            <w:pPr>
              <w:rPr>
                <w:rFonts w:ascii="Times New Roman" w:hAnsi="Times New Roman" w:cs="Times New Roman"/>
                <w:b/>
                <w:bCs/>
                <w:sz w:val="16"/>
                <w:szCs w:val="16"/>
              </w:rPr>
            </w:pPr>
            <w:r w:rsidRPr="005F5C0E">
              <w:rPr>
                <w:rFonts w:ascii="Times New Roman" w:hAnsi="Times New Roman" w:cs="Times New Roman"/>
                <w:b/>
                <w:bCs/>
                <w:sz w:val="16"/>
                <w:szCs w:val="16"/>
              </w:rPr>
              <w:t xml:space="preserve">Number of Entities That Responded </w:t>
            </w:r>
          </w:p>
        </w:tc>
        <w:tc>
          <w:tcPr>
            <w:tcW w:w="900" w:type="dxa"/>
            <w:shd w:val="clear" w:color="auto" w:fill="BFBFBF" w:themeFill="background1" w:themeFillShade="BF"/>
            <w:noWrap/>
            <w:hideMark/>
          </w:tcPr>
          <w:p w:rsidR="00800000" w:rsidRPr="005F5C0E" w:rsidRDefault="00800000" w:rsidP="003E5891">
            <w:pPr>
              <w:rPr>
                <w:rFonts w:ascii="Times New Roman" w:hAnsi="Times New Roman" w:cs="Times New Roman"/>
                <w:b/>
                <w:bCs/>
                <w:sz w:val="16"/>
                <w:szCs w:val="16"/>
              </w:rPr>
            </w:pPr>
            <w:r w:rsidRPr="005F5C0E">
              <w:rPr>
                <w:rFonts w:ascii="Times New Roman" w:hAnsi="Times New Roman" w:cs="Times New Roman"/>
                <w:b/>
                <w:bCs/>
                <w:sz w:val="16"/>
                <w:szCs w:val="16"/>
              </w:rPr>
              <w:t>Number of Entities With</w:t>
            </w:r>
            <w:r>
              <w:rPr>
                <w:rFonts w:ascii="Times New Roman" w:hAnsi="Times New Roman" w:cs="Times New Roman"/>
                <w:b/>
                <w:bCs/>
                <w:sz w:val="16"/>
                <w:szCs w:val="16"/>
              </w:rPr>
              <w:t xml:space="preserve"> Policy</w:t>
            </w:r>
          </w:p>
        </w:tc>
        <w:tc>
          <w:tcPr>
            <w:tcW w:w="810" w:type="dxa"/>
            <w:shd w:val="clear" w:color="auto" w:fill="BFBFBF" w:themeFill="background1" w:themeFillShade="BF"/>
            <w:noWrap/>
            <w:hideMark/>
          </w:tcPr>
          <w:p w:rsidR="00800000" w:rsidRPr="005F5C0E" w:rsidRDefault="00800000" w:rsidP="003E5891">
            <w:pPr>
              <w:rPr>
                <w:rFonts w:ascii="Times New Roman" w:hAnsi="Times New Roman" w:cs="Times New Roman"/>
                <w:sz w:val="16"/>
                <w:szCs w:val="16"/>
              </w:rPr>
            </w:pPr>
          </w:p>
        </w:tc>
        <w:tc>
          <w:tcPr>
            <w:tcW w:w="810" w:type="dxa"/>
            <w:shd w:val="clear" w:color="auto" w:fill="BFBFBF" w:themeFill="background1" w:themeFillShade="BF"/>
            <w:noWrap/>
            <w:hideMark/>
          </w:tcPr>
          <w:p w:rsidR="00800000" w:rsidRPr="005F5C0E" w:rsidRDefault="00800000" w:rsidP="003E5891">
            <w:pPr>
              <w:rPr>
                <w:rFonts w:ascii="Times New Roman" w:hAnsi="Times New Roman" w:cs="Times New Roman"/>
                <w:sz w:val="16"/>
                <w:szCs w:val="16"/>
              </w:rPr>
            </w:pPr>
          </w:p>
        </w:tc>
        <w:tc>
          <w:tcPr>
            <w:tcW w:w="1800" w:type="dxa"/>
            <w:shd w:val="clear" w:color="auto" w:fill="BFBFBF" w:themeFill="background1" w:themeFillShade="BF"/>
            <w:noWrap/>
            <w:hideMark/>
          </w:tcPr>
          <w:p w:rsidR="00800000" w:rsidRPr="005F5C0E" w:rsidRDefault="00800000" w:rsidP="003E5891">
            <w:pPr>
              <w:rPr>
                <w:rFonts w:ascii="Times New Roman" w:hAnsi="Times New Roman" w:cs="Times New Roman"/>
                <w:b/>
                <w:bCs/>
                <w:sz w:val="16"/>
                <w:szCs w:val="16"/>
              </w:rPr>
            </w:pPr>
            <w:r w:rsidRPr="005F5C0E">
              <w:rPr>
                <w:rFonts w:ascii="Times New Roman" w:hAnsi="Times New Roman" w:cs="Times New Roman"/>
                <w:b/>
                <w:bCs/>
                <w:sz w:val="16"/>
                <w:szCs w:val="16"/>
              </w:rPr>
              <w:t>Changes</w:t>
            </w:r>
          </w:p>
        </w:tc>
        <w:tc>
          <w:tcPr>
            <w:tcW w:w="4770" w:type="dxa"/>
            <w:shd w:val="clear" w:color="auto" w:fill="BFBFBF" w:themeFill="background1" w:themeFillShade="BF"/>
          </w:tcPr>
          <w:p w:rsidR="00800000" w:rsidRPr="005F5C0E" w:rsidRDefault="00800000" w:rsidP="003E5891">
            <w:pPr>
              <w:rPr>
                <w:rFonts w:ascii="Times New Roman" w:hAnsi="Times New Roman" w:cs="Times New Roman"/>
                <w:b/>
                <w:bCs/>
                <w:sz w:val="16"/>
                <w:szCs w:val="16"/>
              </w:rPr>
            </w:pPr>
            <w:r w:rsidRPr="005F5C0E">
              <w:rPr>
                <w:rFonts w:ascii="Times New Roman" w:hAnsi="Times New Roman" w:cs="Times New Roman"/>
                <w:b/>
                <w:bCs/>
                <w:sz w:val="16"/>
                <w:szCs w:val="16"/>
              </w:rPr>
              <w:t>Key Analysis</w:t>
            </w:r>
          </w:p>
        </w:tc>
        <w:tc>
          <w:tcPr>
            <w:tcW w:w="4140" w:type="dxa"/>
            <w:shd w:val="clear" w:color="auto" w:fill="BFBFBF" w:themeFill="background1" w:themeFillShade="BF"/>
          </w:tcPr>
          <w:p w:rsidR="00800000" w:rsidRPr="005F5C0E" w:rsidRDefault="00800000" w:rsidP="003E5891">
            <w:pPr>
              <w:rPr>
                <w:rFonts w:ascii="Times New Roman" w:hAnsi="Times New Roman" w:cs="Times New Roman"/>
                <w:b/>
                <w:bCs/>
                <w:sz w:val="16"/>
                <w:szCs w:val="16"/>
              </w:rPr>
            </w:pPr>
            <w:r w:rsidRPr="005F5C0E">
              <w:rPr>
                <w:rFonts w:ascii="Times New Roman" w:hAnsi="Times New Roman" w:cs="Times New Roman"/>
                <w:b/>
                <w:bCs/>
                <w:sz w:val="16"/>
                <w:szCs w:val="16"/>
              </w:rPr>
              <w:t>Progress/Challenges</w:t>
            </w:r>
          </w:p>
        </w:tc>
      </w:tr>
      <w:tr w:rsidR="00800000" w:rsidRPr="005F5C0E" w:rsidTr="003E5891">
        <w:trPr>
          <w:trHeight w:val="300"/>
        </w:trPr>
        <w:tc>
          <w:tcPr>
            <w:tcW w:w="900" w:type="dxa"/>
            <w:noWrap/>
            <w:hideMark/>
          </w:tcPr>
          <w:p w:rsidR="00800000" w:rsidRPr="005F5C0E" w:rsidRDefault="00800000" w:rsidP="003E5891">
            <w:pPr>
              <w:rPr>
                <w:rFonts w:ascii="Times New Roman" w:hAnsi="Times New Roman" w:cs="Times New Roman"/>
                <w:b/>
                <w:bCs/>
                <w:sz w:val="16"/>
                <w:szCs w:val="16"/>
              </w:rPr>
            </w:pPr>
          </w:p>
        </w:tc>
        <w:tc>
          <w:tcPr>
            <w:tcW w:w="99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t>2011</w:t>
            </w:r>
          </w:p>
        </w:tc>
        <w:tc>
          <w:tcPr>
            <w:tcW w:w="900" w:type="dxa"/>
            <w:noWrap/>
            <w:hideMark/>
          </w:tcPr>
          <w:p w:rsidR="00800000" w:rsidRPr="005F5C0E" w:rsidRDefault="00800000" w:rsidP="003E5891">
            <w:pPr>
              <w:rPr>
                <w:rFonts w:ascii="Times New Roman" w:hAnsi="Times New Roman" w:cs="Times New Roman"/>
                <w:b/>
                <w:bCs/>
                <w:sz w:val="16"/>
                <w:szCs w:val="16"/>
              </w:rPr>
            </w:pPr>
            <w:r w:rsidRPr="005F5C0E">
              <w:rPr>
                <w:rFonts w:ascii="Times New Roman" w:hAnsi="Times New Roman" w:cs="Times New Roman"/>
                <w:b/>
                <w:bCs/>
                <w:sz w:val="16"/>
                <w:szCs w:val="16"/>
              </w:rPr>
              <w:t>2011</w:t>
            </w:r>
          </w:p>
        </w:tc>
        <w:tc>
          <w:tcPr>
            <w:tcW w:w="810" w:type="dxa"/>
            <w:noWrap/>
            <w:hideMark/>
          </w:tcPr>
          <w:p w:rsidR="00800000" w:rsidRPr="005F5C0E" w:rsidRDefault="00112EB5" w:rsidP="003E5891">
            <w:pPr>
              <w:rPr>
                <w:rFonts w:ascii="Times New Roman" w:hAnsi="Times New Roman" w:cs="Times New Roman"/>
                <w:b/>
                <w:bCs/>
                <w:sz w:val="16"/>
                <w:szCs w:val="16"/>
              </w:rPr>
            </w:pPr>
            <w:r>
              <w:rPr>
                <w:rFonts w:ascii="Times New Roman" w:hAnsi="Times New Roman" w:cs="Times New Roman"/>
                <w:b/>
                <w:bCs/>
                <w:sz w:val="16"/>
                <w:szCs w:val="16"/>
              </w:rPr>
              <w:t>2009</w:t>
            </w:r>
          </w:p>
        </w:tc>
        <w:tc>
          <w:tcPr>
            <w:tcW w:w="810" w:type="dxa"/>
            <w:noWrap/>
            <w:hideMark/>
          </w:tcPr>
          <w:p w:rsidR="00800000" w:rsidRPr="005F5C0E" w:rsidRDefault="00112EB5" w:rsidP="003E5891">
            <w:pPr>
              <w:rPr>
                <w:rFonts w:ascii="Times New Roman" w:hAnsi="Times New Roman" w:cs="Times New Roman"/>
                <w:b/>
                <w:bCs/>
                <w:sz w:val="16"/>
                <w:szCs w:val="16"/>
              </w:rPr>
            </w:pPr>
            <w:r>
              <w:rPr>
                <w:rFonts w:ascii="Times New Roman" w:hAnsi="Times New Roman" w:cs="Times New Roman"/>
                <w:b/>
                <w:bCs/>
                <w:sz w:val="16"/>
                <w:szCs w:val="16"/>
              </w:rPr>
              <w:t>2007</w:t>
            </w:r>
          </w:p>
        </w:tc>
        <w:tc>
          <w:tcPr>
            <w:tcW w:w="1800" w:type="dxa"/>
            <w:noWrap/>
            <w:hideMark/>
          </w:tcPr>
          <w:p w:rsidR="00800000" w:rsidRPr="005F5C0E" w:rsidRDefault="00800000" w:rsidP="003E5891">
            <w:pPr>
              <w:rPr>
                <w:rFonts w:ascii="Times New Roman" w:hAnsi="Times New Roman" w:cs="Times New Roman"/>
                <w:sz w:val="16"/>
                <w:szCs w:val="16"/>
              </w:rPr>
            </w:pPr>
          </w:p>
        </w:tc>
        <w:tc>
          <w:tcPr>
            <w:tcW w:w="4770" w:type="dxa"/>
          </w:tcPr>
          <w:p w:rsidR="00800000" w:rsidRPr="005F5C0E" w:rsidRDefault="00800000" w:rsidP="003E5891">
            <w:pPr>
              <w:rPr>
                <w:rFonts w:ascii="Times New Roman" w:hAnsi="Times New Roman" w:cs="Times New Roman"/>
                <w:sz w:val="16"/>
                <w:szCs w:val="16"/>
              </w:rPr>
            </w:pPr>
          </w:p>
        </w:tc>
        <w:tc>
          <w:tcPr>
            <w:tcW w:w="4140" w:type="dxa"/>
          </w:tcPr>
          <w:p w:rsidR="00800000" w:rsidRPr="005F5C0E" w:rsidRDefault="00800000" w:rsidP="003E5891">
            <w:pPr>
              <w:rPr>
                <w:rFonts w:ascii="Times New Roman" w:hAnsi="Times New Roman" w:cs="Times New Roman"/>
                <w:sz w:val="16"/>
                <w:szCs w:val="16"/>
              </w:rPr>
            </w:pPr>
          </w:p>
        </w:tc>
      </w:tr>
      <w:tr w:rsidR="00800000" w:rsidRPr="005F5C0E" w:rsidTr="003E5891">
        <w:trPr>
          <w:trHeight w:val="1628"/>
        </w:trPr>
        <w:tc>
          <w:tcPr>
            <w:tcW w:w="90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t>Gender Strategy</w:t>
            </w:r>
          </w:p>
        </w:tc>
        <w:tc>
          <w:tcPr>
            <w:tcW w:w="99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32</w:t>
            </w:r>
          </w:p>
        </w:tc>
        <w:tc>
          <w:tcPr>
            <w:tcW w:w="900" w:type="dxa"/>
            <w:noWrap/>
            <w:hideMark/>
          </w:tcPr>
          <w:p w:rsidR="00800000" w:rsidRPr="005F5C0E" w:rsidRDefault="00520566" w:rsidP="003E5891">
            <w:pPr>
              <w:rPr>
                <w:rFonts w:ascii="Times New Roman" w:hAnsi="Times New Roman" w:cs="Times New Roman"/>
                <w:sz w:val="16"/>
                <w:szCs w:val="16"/>
              </w:rPr>
            </w:pPr>
            <w:r>
              <w:rPr>
                <w:rFonts w:ascii="Times New Roman" w:hAnsi="Times New Roman" w:cs="Times New Roman"/>
                <w:sz w:val="16"/>
                <w:szCs w:val="16"/>
              </w:rPr>
              <w:t>14</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17/30</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15/19</w:t>
            </w:r>
          </w:p>
        </w:tc>
        <w:tc>
          <w:tcPr>
            <w:tcW w:w="1800" w:type="dxa"/>
            <w:noWrap/>
            <w:hideMark/>
          </w:tcPr>
          <w:p w:rsidR="00800000" w:rsidRPr="005F5C0E" w:rsidRDefault="00520566" w:rsidP="003E5891">
            <w:pPr>
              <w:rPr>
                <w:rFonts w:ascii="Times New Roman" w:hAnsi="Times New Roman" w:cs="Times New Roman"/>
                <w:sz w:val="16"/>
                <w:szCs w:val="16"/>
              </w:rPr>
            </w:pPr>
            <w:r>
              <w:rPr>
                <w:rFonts w:ascii="Times New Roman" w:hAnsi="Times New Roman" w:cs="Times New Roman"/>
                <w:sz w:val="16"/>
                <w:szCs w:val="16"/>
              </w:rPr>
              <w:t>Decrease of 3 since 2009.</w:t>
            </w:r>
          </w:p>
        </w:tc>
        <w:tc>
          <w:tcPr>
            <w:tcW w:w="4770" w:type="dxa"/>
          </w:tcPr>
          <w:p w:rsidR="00800000" w:rsidRPr="005F5C0E" w:rsidRDefault="00800000" w:rsidP="00800000">
            <w:pPr>
              <w:pStyle w:val="ListParagraph"/>
              <w:numPr>
                <w:ilvl w:val="0"/>
                <w:numId w:val="1"/>
              </w:numPr>
              <w:rPr>
                <w:rFonts w:ascii="Times New Roman" w:hAnsi="Times New Roman" w:cs="Times New Roman"/>
                <w:sz w:val="16"/>
                <w:szCs w:val="16"/>
              </w:rPr>
            </w:pPr>
            <w:r w:rsidRPr="005F5C0E">
              <w:rPr>
                <w:rFonts w:ascii="Times New Roman" w:hAnsi="Times New Roman" w:cs="Times New Roman"/>
                <w:sz w:val="16"/>
                <w:szCs w:val="16"/>
              </w:rPr>
              <w:t xml:space="preserve">Most gender balance strategies were included in larger documents related to human resources or programmatic gender policies. </w:t>
            </w:r>
          </w:p>
          <w:p w:rsidR="00800000" w:rsidRPr="005F5C0E" w:rsidRDefault="00520566" w:rsidP="00520566">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Only 8 s</w:t>
            </w:r>
            <w:r w:rsidR="00800000" w:rsidRPr="005F5C0E">
              <w:rPr>
                <w:rFonts w:ascii="Times New Roman" w:hAnsi="Times New Roman" w:cs="Times New Roman"/>
                <w:sz w:val="16"/>
                <w:szCs w:val="16"/>
              </w:rPr>
              <w:t>trategies specified accountability mechanisms</w:t>
            </w:r>
            <w:r>
              <w:rPr>
                <w:rFonts w:ascii="Times New Roman" w:hAnsi="Times New Roman" w:cs="Times New Roman"/>
                <w:sz w:val="16"/>
                <w:szCs w:val="16"/>
              </w:rPr>
              <w:t>.</w:t>
            </w:r>
          </w:p>
        </w:tc>
        <w:tc>
          <w:tcPr>
            <w:tcW w:w="4140" w:type="dxa"/>
          </w:tcPr>
          <w:p w:rsidR="00800000" w:rsidRPr="005F5C0E" w:rsidRDefault="00800000" w:rsidP="00800000">
            <w:pPr>
              <w:pStyle w:val="ListParagraph"/>
              <w:numPr>
                <w:ilvl w:val="0"/>
                <w:numId w:val="1"/>
              </w:numPr>
              <w:rPr>
                <w:rFonts w:ascii="Times New Roman" w:hAnsi="Times New Roman" w:cs="Times New Roman"/>
                <w:bCs/>
                <w:sz w:val="16"/>
                <w:szCs w:val="16"/>
              </w:rPr>
            </w:pPr>
            <w:r w:rsidRPr="005F5C0E">
              <w:rPr>
                <w:rFonts w:ascii="Times New Roman" w:hAnsi="Times New Roman" w:cs="Times New Roman"/>
                <w:b/>
                <w:bCs/>
                <w:sz w:val="16"/>
                <w:szCs w:val="16"/>
              </w:rPr>
              <w:t>Progress:</w:t>
            </w:r>
            <w:r w:rsidRPr="005F5C0E">
              <w:rPr>
                <w:rFonts w:ascii="Times New Roman" w:hAnsi="Times New Roman" w:cs="Times New Roman"/>
                <w:bCs/>
                <w:sz w:val="16"/>
                <w:szCs w:val="16"/>
              </w:rPr>
              <w:t xml:space="preserve"> The most common objective was the achievement of gender parity, with the associated goals of improving work/life balance, raising awareness and strengthening accountabili</w:t>
            </w:r>
            <w:r>
              <w:rPr>
                <w:rFonts w:ascii="Times New Roman" w:hAnsi="Times New Roman" w:cs="Times New Roman"/>
                <w:bCs/>
                <w:sz w:val="16"/>
                <w:szCs w:val="16"/>
              </w:rPr>
              <w:t>ty for effective implementation</w:t>
            </w:r>
            <w:r w:rsidRPr="005F5C0E">
              <w:rPr>
                <w:rFonts w:ascii="Times New Roman" w:hAnsi="Times New Roman" w:cs="Times New Roman"/>
                <w:bCs/>
                <w:sz w:val="16"/>
                <w:szCs w:val="16"/>
              </w:rPr>
              <w:t>. The most comprehensive strategies identified clear targets and dates by which to achieve them.</w:t>
            </w:r>
          </w:p>
          <w:p w:rsidR="00800000" w:rsidRPr="005F5C0E" w:rsidRDefault="00800000" w:rsidP="00800000">
            <w:pPr>
              <w:pStyle w:val="ListParagraph"/>
              <w:numPr>
                <w:ilvl w:val="0"/>
                <w:numId w:val="1"/>
              </w:numPr>
              <w:rPr>
                <w:rFonts w:ascii="Times New Roman" w:hAnsi="Times New Roman" w:cs="Times New Roman"/>
                <w:bCs/>
                <w:sz w:val="16"/>
                <w:szCs w:val="16"/>
              </w:rPr>
            </w:pPr>
            <w:r w:rsidRPr="005F5C0E">
              <w:rPr>
                <w:rFonts w:ascii="Times New Roman" w:hAnsi="Times New Roman" w:cs="Times New Roman"/>
                <w:b/>
                <w:bCs/>
                <w:sz w:val="16"/>
                <w:szCs w:val="16"/>
              </w:rPr>
              <w:t xml:space="preserve">Challenges: </w:t>
            </w:r>
            <w:r w:rsidRPr="005F5C0E">
              <w:rPr>
                <w:rFonts w:ascii="Times New Roman" w:hAnsi="Times New Roman" w:cs="Times New Roman"/>
                <w:bCs/>
                <w:sz w:val="16"/>
                <w:szCs w:val="16"/>
              </w:rPr>
              <w:t>Limited financial and human resources</w:t>
            </w:r>
            <w:r w:rsidR="00520566">
              <w:rPr>
                <w:rFonts w:ascii="Times New Roman" w:hAnsi="Times New Roman" w:cs="Times New Roman"/>
                <w:bCs/>
                <w:sz w:val="16"/>
                <w:szCs w:val="16"/>
              </w:rPr>
              <w:t>,</w:t>
            </w:r>
            <w:r w:rsidRPr="005F5C0E">
              <w:rPr>
                <w:rFonts w:ascii="Times New Roman" w:hAnsi="Times New Roman" w:cs="Times New Roman"/>
                <w:bCs/>
                <w:sz w:val="16"/>
                <w:szCs w:val="16"/>
              </w:rPr>
              <w:t xml:space="preserve"> and </w:t>
            </w:r>
            <w:r w:rsidR="00520566">
              <w:rPr>
                <w:rFonts w:ascii="Times New Roman" w:hAnsi="Times New Roman" w:cs="Times New Roman"/>
                <w:bCs/>
                <w:sz w:val="16"/>
                <w:szCs w:val="16"/>
              </w:rPr>
              <w:t>lack of support from senior management.</w:t>
            </w:r>
          </w:p>
        </w:tc>
      </w:tr>
      <w:tr w:rsidR="00800000" w:rsidRPr="005F5C0E" w:rsidTr="003E5891">
        <w:trPr>
          <w:trHeight w:val="1925"/>
        </w:trPr>
        <w:tc>
          <w:tcPr>
            <w:tcW w:w="90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t>Staff Selection</w:t>
            </w:r>
          </w:p>
        </w:tc>
        <w:tc>
          <w:tcPr>
            <w:tcW w:w="99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32</w:t>
            </w:r>
          </w:p>
        </w:tc>
        <w:tc>
          <w:tcPr>
            <w:tcW w:w="900" w:type="dxa"/>
            <w:noWrap/>
            <w:hideMark/>
          </w:tcPr>
          <w:p w:rsidR="00800000" w:rsidRPr="005F5C0E" w:rsidRDefault="00FC7784" w:rsidP="003E5891">
            <w:pPr>
              <w:rPr>
                <w:rFonts w:ascii="Times New Roman" w:hAnsi="Times New Roman" w:cs="Times New Roman"/>
                <w:sz w:val="16"/>
                <w:szCs w:val="16"/>
              </w:rPr>
            </w:pPr>
            <w:r>
              <w:rPr>
                <w:rFonts w:ascii="Times New Roman" w:hAnsi="Times New Roman" w:cs="Times New Roman"/>
                <w:sz w:val="16"/>
                <w:szCs w:val="16"/>
              </w:rPr>
              <w:t>See ‘Key Analysis’</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N/A</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N/A</w:t>
            </w:r>
          </w:p>
        </w:tc>
        <w:tc>
          <w:tcPr>
            <w:tcW w:w="180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N/A</w:t>
            </w:r>
          </w:p>
        </w:tc>
        <w:tc>
          <w:tcPr>
            <w:tcW w:w="4770" w:type="dxa"/>
          </w:tcPr>
          <w:p w:rsidR="00800000" w:rsidRDefault="00800000" w:rsidP="00800000">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R</w:t>
            </w:r>
            <w:r w:rsidRPr="005F5C0E">
              <w:rPr>
                <w:rFonts w:ascii="Times New Roman" w:hAnsi="Times New Roman" w:cs="Times New Roman"/>
                <w:sz w:val="16"/>
                <w:szCs w:val="16"/>
              </w:rPr>
              <w:t>equirement to have a female on the list of recommended candidates</w:t>
            </w:r>
            <w:r w:rsidR="00AC42CA">
              <w:rPr>
                <w:rFonts w:ascii="Times New Roman" w:hAnsi="Times New Roman" w:cs="Times New Roman"/>
                <w:sz w:val="16"/>
                <w:szCs w:val="16"/>
              </w:rPr>
              <w:t>: 9</w:t>
            </w:r>
            <w:r>
              <w:rPr>
                <w:rFonts w:ascii="Times New Roman" w:hAnsi="Times New Roman" w:cs="Times New Roman"/>
                <w:sz w:val="16"/>
                <w:szCs w:val="16"/>
              </w:rPr>
              <w:t xml:space="preserve"> entities</w:t>
            </w:r>
            <w:r w:rsidR="00AC42CA">
              <w:rPr>
                <w:rFonts w:ascii="Times New Roman" w:hAnsi="Times New Roman" w:cs="Times New Roman"/>
                <w:sz w:val="16"/>
                <w:szCs w:val="16"/>
              </w:rPr>
              <w:t>.</w:t>
            </w:r>
          </w:p>
          <w:p w:rsidR="00AC42CA" w:rsidRDefault="00AC42CA" w:rsidP="00800000">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Special stipulations for when gender targets are not met: 5 entities.</w:t>
            </w:r>
          </w:p>
          <w:p w:rsidR="00AC42CA" w:rsidRDefault="00AC42CA" w:rsidP="00800000">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Hiring Manager must request permission to select male over female candidate: 4 entities.</w:t>
            </w:r>
          </w:p>
          <w:p w:rsidR="00AC42CA" w:rsidRDefault="00AC42CA" w:rsidP="00800000">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Conducts assessment of staffing changes over next 5 years: 16.</w:t>
            </w:r>
          </w:p>
          <w:p w:rsidR="00AC42CA" w:rsidRDefault="00AC42CA" w:rsidP="00800000">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Assessment is broken down by grade and gender: 8 entities.</w:t>
            </w:r>
          </w:p>
          <w:p w:rsidR="00AC42CA" w:rsidRDefault="00AC42CA" w:rsidP="00800000">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Reserves some posts for internal candidates: 15 entities.</w:t>
            </w:r>
          </w:p>
          <w:p w:rsidR="00AC42CA" w:rsidRPr="005F5C0E" w:rsidRDefault="00AC42CA" w:rsidP="00AC42CA">
            <w:pPr>
              <w:pStyle w:val="ListParagraph"/>
              <w:numPr>
                <w:ilvl w:val="0"/>
                <w:numId w:val="2"/>
              </w:numPr>
              <w:rPr>
                <w:rFonts w:ascii="Times New Roman" w:hAnsi="Times New Roman" w:cs="Times New Roman"/>
                <w:sz w:val="16"/>
                <w:szCs w:val="16"/>
              </w:rPr>
            </w:pPr>
            <w:r w:rsidRPr="005F5C0E">
              <w:rPr>
                <w:rFonts w:ascii="Times New Roman" w:hAnsi="Times New Roman" w:cs="Times New Roman"/>
                <w:sz w:val="16"/>
                <w:szCs w:val="16"/>
              </w:rPr>
              <w:t xml:space="preserve">The majority of entities (9) include less than 20% of professional and above-level posts in this category, though 3 entities include 60% and one entity (WFP) includes 80%. </w:t>
            </w:r>
          </w:p>
          <w:p w:rsidR="00AC42CA" w:rsidRPr="005F5C0E" w:rsidRDefault="00AC42CA" w:rsidP="00AC42CA">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Consider women serving in other entities as internal candidates: 8 entities.</w:t>
            </w:r>
          </w:p>
          <w:p w:rsidR="00AC42CA" w:rsidRDefault="00800000" w:rsidP="00AC42CA">
            <w:pPr>
              <w:pStyle w:val="ListParagraph"/>
              <w:numPr>
                <w:ilvl w:val="0"/>
                <w:numId w:val="2"/>
              </w:numPr>
              <w:rPr>
                <w:rFonts w:ascii="Times New Roman" w:hAnsi="Times New Roman" w:cs="Times New Roman"/>
                <w:sz w:val="16"/>
                <w:szCs w:val="16"/>
              </w:rPr>
            </w:pPr>
            <w:r w:rsidRPr="00AC42CA">
              <w:rPr>
                <w:rFonts w:ascii="Times New Roman" w:hAnsi="Times New Roman" w:cs="Times New Roman"/>
                <w:sz w:val="16"/>
                <w:szCs w:val="16"/>
              </w:rPr>
              <w:t>Gender Specific Rosters: None</w:t>
            </w:r>
            <w:r w:rsidR="00AC42CA">
              <w:rPr>
                <w:rFonts w:ascii="Times New Roman" w:hAnsi="Times New Roman" w:cs="Times New Roman"/>
                <w:sz w:val="16"/>
                <w:szCs w:val="16"/>
              </w:rPr>
              <w:t>.</w:t>
            </w:r>
          </w:p>
          <w:p w:rsidR="00800000" w:rsidRPr="00AC42CA" w:rsidRDefault="00800000" w:rsidP="00AC42CA">
            <w:pPr>
              <w:pStyle w:val="ListParagraph"/>
              <w:numPr>
                <w:ilvl w:val="0"/>
                <w:numId w:val="2"/>
              </w:numPr>
              <w:rPr>
                <w:rFonts w:ascii="Times New Roman" w:hAnsi="Times New Roman" w:cs="Times New Roman"/>
                <w:sz w:val="16"/>
                <w:szCs w:val="16"/>
              </w:rPr>
            </w:pPr>
            <w:r w:rsidRPr="00AC42CA">
              <w:rPr>
                <w:rFonts w:ascii="Times New Roman" w:hAnsi="Times New Roman" w:cs="Times New Roman"/>
                <w:sz w:val="16"/>
                <w:szCs w:val="16"/>
              </w:rPr>
              <w:t>Hold</w:t>
            </w:r>
            <w:r w:rsidR="00AC42CA">
              <w:rPr>
                <w:rFonts w:ascii="Times New Roman" w:hAnsi="Times New Roman" w:cs="Times New Roman"/>
                <w:sz w:val="16"/>
                <w:szCs w:val="16"/>
              </w:rPr>
              <w:t>s</w:t>
            </w:r>
            <w:r w:rsidRPr="00AC42CA">
              <w:rPr>
                <w:rFonts w:ascii="Times New Roman" w:hAnsi="Times New Roman" w:cs="Times New Roman"/>
                <w:sz w:val="16"/>
                <w:szCs w:val="16"/>
              </w:rPr>
              <w:t xml:space="preserve"> women on rosters longer  than men: 4 entities</w:t>
            </w:r>
          </w:p>
          <w:p w:rsidR="00800000" w:rsidRDefault="00AC42CA" w:rsidP="00AC42CA">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Has a review body to ensure candidates are evaluated appropriately: 27 entities.</w:t>
            </w:r>
          </w:p>
          <w:p w:rsidR="00AC42CA" w:rsidRDefault="00AC42CA" w:rsidP="00AC42CA">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Stipulates female or focal point representation on review body: 14 entities.</w:t>
            </w:r>
          </w:p>
          <w:p w:rsidR="00AC42CA" w:rsidRPr="005F5C0E" w:rsidRDefault="00AC42CA" w:rsidP="00AC42CA">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Stipulates female or focal point representation on interview panel: 15 entities.</w:t>
            </w:r>
          </w:p>
        </w:tc>
        <w:tc>
          <w:tcPr>
            <w:tcW w:w="4140" w:type="dxa"/>
          </w:tcPr>
          <w:p w:rsidR="00800000" w:rsidRPr="005F5C0E" w:rsidRDefault="00800000" w:rsidP="00800000">
            <w:pPr>
              <w:pStyle w:val="ListParagraph"/>
              <w:numPr>
                <w:ilvl w:val="0"/>
                <w:numId w:val="2"/>
              </w:numPr>
              <w:rPr>
                <w:rFonts w:ascii="Times New Roman" w:hAnsi="Times New Roman" w:cs="Times New Roman"/>
                <w:sz w:val="16"/>
                <w:szCs w:val="16"/>
              </w:rPr>
            </w:pPr>
            <w:r w:rsidRPr="005F5C0E">
              <w:rPr>
                <w:rFonts w:ascii="Times New Roman" w:hAnsi="Times New Roman" w:cs="Times New Roman"/>
                <w:b/>
                <w:bCs/>
                <w:sz w:val="16"/>
                <w:szCs w:val="16"/>
              </w:rPr>
              <w:t xml:space="preserve">Progress: </w:t>
            </w:r>
            <w:r>
              <w:rPr>
                <w:rFonts w:ascii="Times New Roman" w:hAnsi="Times New Roman" w:cs="Times New Roman"/>
                <w:sz w:val="16"/>
                <w:szCs w:val="16"/>
              </w:rPr>
              <w:t xml:space="preserve">Staff </w:t>
            </w:r>
            <w:r w:rsidRPr="005F5C0E">
              <w:rPr>
                <w:rFonts w:ascii="Times New Roman" w:hAnsi="Times New Roman" w:cs="Times New Roman"/>
                <w:sz w:val="16"/>
                <w:szCs w:val="16"/>
              </w:rPr>
              <w:t>selection systems that include stipulations specifical</w:t>
            </w:r>
            <w:r>
              <w:rPr>
                <w:rFonts w:ascii="Times New Roman" w:hAnsi="Times New Roman" w:cs="Times New Roman"/>
                <w:sz w:val="16"/>
                <w:szCs w:val="16"/>
              </w:rPr>
              <w:t>l</w:t>
            </w:r>
            <w:r w:rsidR="00AC42CA">
              <w:rPr>
                <w:rFonts w:ascii="Times New Roman" w:hAnsi="Times New Roman" w:cs="Times New Roman"/>
                <w:sz w:val="16"/>
                <w:szCs w:val="16"/>
              </w:rPr>
              <w:t>y related to women: 13 entities; e</w:t>
            </w:r>
            <w:r w:rsidRPr="005F5C0E">
              <w:rPr>
                <w:rFonts w:ascii="Times New Roman" w:hAnsi="Times New Roman" w:cs="Times New Roman"/>
                <w:sz w:val="16"/>
                <w:szCs w:val="16"/>
              </w:rPr>
              <w:t>ncourage women to apply in their vacancy announcement</w:t>
            </w:r>
            <w:r>
              <w:rPr>
                <w:rFonts w:ascii="Times New Roman" w:hAnsi="Times New Roman" w:cs="Times New Roman"/>
                <w:sz w:val="16"/>
                <w:szCs w:val="16"/>
              </w:rPr>
              <w:t>s or requests for applications: 29 entities</w:t>
            </w:r>
            <w:r w:rsidR="00AC42CA">
              <w:rPr>
                <w:rFonts w:ascii="Times New Roman" w:hAnsi="Times New Roman" w:cs="Times New Roman"/>
                <w:sz w:val="16"/>
                <w:szCs w:val="16"/>
              </w:rPr>
              <w:t xml:space="preserve">; </w:t>
            </w:r>
            <w:r w:rsidR="00FC7784">
              <w:rPr>
                <w:rFonts w:ascii="Times New Roman" w:hAnsi="Times New Roman" w:cs="Times New Roman"/>
                <w:sz w:val="16"/>
                <w:szCs w:val="16"/>
              </w:rPr>
              <w:t>a larger proportion of entities that hold women for a longer period on a roster use them to place female candidates.</w:t>
            </w:r>
          </w:p>
          <w:p w:rsidR="00800000" w:rsidRPr="005F5C0E" w:rsidRDefault="00800000" w:rsidP="003E5891">
            <w:pPr>
              <w:rPr>
                <w:rFonts w:ascii="Times New Roman" w:hAnsi="Times New Roman" w:cs="Times New Roman"/>
                <w:bCs/>
                <w:sz w:val="16"/>
                <w:szCs w:val="16"/>
              </w:rPr>
            </w:pPr>
          </w:p>
          <w:p w:rsidR="00800000" w:rsidRPr="005F5C0E" w:rsidRDefault="00800000" w:rsidP="00800000">
            <w:pPr>
              <w:pStyle w:val="ListParagraph"/>
              <w:numPr>
                <w:ilvl w:val="0"/>
                <w:numId w:val="2"/>
              </w:numPr>
              <w:rPr>
                <w:rFonts w:ascii="Times New Roman" w:hAnsi="Times New Roman" w:cs="Times New Roman"/>
                <w:sz w:val="16"/>
                <w:szCs w:val="16"/>
              </w:rPr>
            </w:pPr>
            <w:r w:rsidRPr="005F5C0E">
              <w:rPr>
                <w:rFonts w:ascii="Times New Roman" w:hAnsi="Times New Roman" w:cs="Times New Roman"/>
                <w:b/>
                <w:bCs/>
                <w:sz w:val="16"/>
                <w:szCs w:val="16"/>
              </w:rPr>
              <w:t xml:space="preserve">Challenges: </w:t>
            </w:r>
            <w:r w:rsidR="00AC42CA">
              <w:rPr>
                <w:rFonts w:ascii="Times New Roman" w:hAnsi="Times New Roman" w:cs="Times New Roman"/>
                <w:sz w:val="16"/>
                <w:szCs w:val="16"/>
              </w:rPr>
              <w:t>Very few entities use traditional special measures in the recruitment of women (i.e. requiring female candidate to be on the list of recommended candidates, or requesting permission from HR to select a male over a female cand</w:t>
            </w:r>
            <w:r w:rsidR="00FC7784">
              <w:rPr>
                <w:rFonts w:ascii="Times New Roman" w:hAnsi="Times New Roman" w:cs="Times New Roman"/>
                <w:sz w:val="16"/>
                <w:szCs w:val="16"/>
              </w:rPr>
              <w:t>idate); lack of accountability in staff selection systems.</w:t>
            </w:r>
          </w:p>
          <w:p w:rsidR="00800000" w:rsidRPr="005F5C0E" w:rsidRDefault="00800000" w:rsidP="003E5891">
            <w:pPr>
              <w:rPr>
                <w:rFonts w:ascii="Times New Roman" w:hAnsi="Times New Roman" w:cs="Times New Roman"/>
                <w:bCs/>
                <w:sz w:val="16"/>
                <w:szCs w:val="16"/>
              </w:rPr>
            </w:pPr>
          </w:p>
        </w:tc>
      </w:tr>
      <w:tr w:rsidR="00800000" w:rsidRPr="005F5C0E" w:rsidTr="003E5891">
        <w:trPr>
          <w:trHeight w:val="1250"/>
        </w:trPr>
        <w:tc>
          <w:tcPr>
            <w:tcW w:w="90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lastRenderedPageBreak/>
              <w:t>Special Measures</w:t>
            </w:r>
          </w:p>
        </w:tc>
        <w:tc>
          <w:tcPr>
            <w:tcW w:w="99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32</w:t>
            </w:r>
          </w:p>
        </w:tc>
        <w:tc>
          <w:tcPr>
            <w:tcW w:w="900" w:type="dxa"/>
            <w:noWrap/>
            <w:hideMark/>
          </w:tcPr>
          <w:p w:rsidR="00800000" w:rsidRPr="005F5C0E" w:rsidRDefault="00FC7784" w:rsidP="003E5891">
            <w:pPr>
              <w:rPr>
                <w:rFonts w:ascii="Times New Roman" w:hAnsi="Times New Roman" w:cs="Times New Roman"/>
                <w:sz w:val="16"/>
                <w:szCs w:val="16"/>
              </w:rPr>
            </w:pPr>
            <w:r>
              <w:rPr>
                <w:rFonts w:ascii="Times New Roman" w:hAnsi="Times New Roman" w:cs="Times New Roman"/>
                <w:sz w:val="16"/>
                <w:szCs w:val="16"/>
              </w:rPr>
              <w:t>19</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15/30</w:t>
            </w:r>
          </w:p>
        </w:tc>
        <w:tc>
          <w:tcPr>
            <w:tcW w:w="810" w:type="dxa"/>
            <w:noWrap/>
            <w:hideMark/>
          </w:tcPr>
          <w:p w:rsidR="00800000" w:rsidRPr="005F5C0E" w:rsidRDefault="00800000" w:rsidP="003E5891">
            <w:pPr>
              <w:rPr>
                <w:rFonts w:ascii="Times New Roman" w:hAnsi="Times New Roman" w:cs="Times New Roman"/>
                <w:sz w:val="16"/>
                <w:szCs w:val="16"/>
              </w:rPr>
            </w:pPr>
          </w:p>
        </w:tc>
        <w:tc>
          <w:tcPr>
            <w:tcW w:w="1800" w:type="dxa"/>
            <w:noWrap/>
            <w:hideMark/>
          </w:tcPr>
          <w:p w:rsidR="00800000" w:rsidRPr="005F5C0E" w:rsidRDefault="00FC7784" w:rsidP="00FC7784">
            <w:pPr>
              <w:rPr>
                <w:rFonts w:ascii="Times New Roman" w:hAnsi="Times New Roman" w:cs="Times New Roman"/>
                <w:sz w:val="16"/>
                <w:szCs w:val="16"/>
              </w:rPr>
            </w:pPr>
            <w:r>
              <w:rPr>
                <w:rFonts w:ascii="Times New Roman" w:hAnsi="Times New Roman" w:cs="Times New Roman"/>
                <w:sz w:val="16"/>
                <w:szCs w:val="16"/>
              </w:rPr>
              <w:t>Increase of</w:t>
            </w:r>
            <w:r w:rsidR="00800000" w:rsidRPr="005F5C0E">
              <w:rPr>
                <w:rFonts w:ascii="Times New Roman" w:hAnsi="Times New Roman" w:cs="Times New Roman"/>
                <w:sz w:val="16"/>
                <w:szCs w:val="16"/>
              </w:rPr>
              <w:t xml:space="preserve"> </w:t>
            </w:r>
            <w:r>
              <w:rPr>
                <w:rFonts w:ascii="Times New Roman" w:hAnsi="Times New Roman" w:cs="Times New Roman"/>
                <w:sz w:val="16"/>
                <w:szCs w:val="16"/>
              </w:rPr>
              <w:t>4 since 2009</w:t>
            </w:r>
          </w:p>
        </w:tc>
        <w:tc>
          <w:tcPr>
            <w:tcW w:w="4770" w:type="dxa"/>
          </w:tcPr>
          <w:p w:rsidR="00800000" w:rsidRPr="005F5C0E" w:rsidRDefault="00800000" w:rsidP="00800000">
            <w:pPr>
              <w:pStyle w:val="ListParagraph"/>
              <w:numPr>
                <w:ilvl w:val="0"/>
                <w:numId w:val="3"/>
              </w:numPr>
              <w:rPr>
                <w:rFonts w:ascii="Times New Roman" w:hAnsi="Times New Roman" w:cs="Times New Roman"/>
                <w:sz w:val="16"/>
                <w:szCs w:val="16"/>
              </w:rPr>
            </w:pPr>
            <w:r w:rsidRPr="005F5C0E">
              <w:rPr>
                <w:rFonts w:ascii="Times New Roman" w:hAnsi="Times New Roman" w:cs="Times New Roman"/>
                <w:sz w:val="16"/>
                <w:szCs w:val="16"/>
              </w:rPr>
              <w:t>The main reasons that entities cited for not having special measures are: pool of qualified candidates being too small; poor understanding of special measures; lack of political will and that equal treatment was required for both genders.</w:t>
            </w:r>
          </w:p>
          <w:p w:rsidR="00800000" w:rsidRPr="005F5C0E" w:rsidRDefault="0055094C" w:rsidP="0055094C">
            <w:pPr>
              <w:pStyle w:val="ListParagraph"/>
              <w:numPr>
                <w:ilvl w:val="0"/>
                <w:numId w:val="3"/>
              </w:numPr>
              <w:rPr>
                <w:rFonts w:ascii="Times New Roman" w:hAnsi="Times New Roman" w:cs="Times New Roman"/>
                <w:sz w:val="16"/>
                <w:szCs w:val="16"/>
              </w:rPr>
            </w:pPr>
            <w:r w:rsidRPr="0055094C">
              <w:rPr>
                <w:rFonts w:ascii="Times New Roman" w:hAnsi="Times New Roman" w:cs="Times New Roman"/>
                <w:sz w:val="16"/>
                <w:szCs w:val="16"/>
              </w:rPr>
              <w:t>Number of entities identifying ‘L</w:t>
            </w:r>
            <w:r w:rsidR="00800000" w:rsidRPr="0055094C">
              <w:rPr>
                <w:rFonts w:ascii="Times New Roman" w:hAnsi="Times New Roman" w:cs="Times New Roman"/>
                <w:sz w:val="16"/>
                <w:szCs w:val="16"/>
              </w:rPr>
              <w:t>ack of Special Measures</w:t>
            </w:r>
            <w:r w:rsidRPr="0055094C">
              <w:rPr>
                <w:rFonts w:ascii="Times New Roman" w:hAnsi="Times New Roman" w:cs="Times New Roman"/>
                <w:sz w:val="16"/>
                <w:szCs w:val="16"/>
              </w:rPr>
              <w:t>’ among</w:t>
            </w:r>
            <w:r w:rsidR="00800000" w:rsidRPr="0055094C">
              <w:rPr>
                <w:rFonts w:ascii="Times New Roman" w:hAnsi="Times New Roman" w:cs="Times New Roman"/>
                <w:sz w:val="16"/>
                <w:szCs w:val="16"/>
              </w:rPr>
              <w:t xml:space="preserve"> top 3 impediments</w:t>
            </w:r>
            <w:r w:rsidRPr="0055094C">
              <w:rPr>
                <w:rFonts w:ascii="Times New Roman" w:hAnsi="Times New Roman" w:cs="Times New Roman"/>
                <w:sz w:val="16"/>
                <w:szCs w:val="16"/>
              </w:rPr>
              <w:t xml:space="preserve"> to gender parity: 13.</w:t>
            </w:r>
          </w:p>
        </w:tc>
        <w:tc>
          <w:tcPr>
            <w:tcW w:w="4140" w:type="dxa"/>
          </w:tcPr>
          <w:p w:rsidR="00800000" w:rsidRPr="005F5C0E" w:rsidRDefault="00800000" w:rsidP="00800000">
            <w:pPr>
              <w:pStyle w:val="ListParagraph"/>
              <w:numPr>
                <w:ilvl w:val="0"/>
                <w:numId w:val="3"/>
              </w:numPr>
              <w:rPr>
                <w:rFonts w:ascii="Times New Roman" w:hAnsi="Times New Roman" w:cs="Times New Roman"/>
                <w:sz w:val="16"/>
                <w:szCs w:val="16"/>
              </w:rPr>
            </w:pPr>
            <w:r w:rsidRPr="005F5C0E">
              <w:rPr>
                <w:rFonts w:ascii="Times New Roman" w:hAnsi="Times New Roman" w:cs="Times New Roman"/>
                <w:b/>
                <w:bCs/>
                <w:sz w:val="16"/>
                <w:szCs w:val="16"/>
              </w:rPr>
              <w:t xml:space="preserve">Progress: </w:t>
            </w:r>
            <w:r w:rsidRPr="005F5C0E">
              <w:rPr>
                <w:rFonts w:ascii="Times New Roman" w:hAnsi="Times New Roman" w:cs="Times New Roman"/>
                <w:sz w:val="16"/>
                <w:szCs w:val="16"/>
              </w:rPr>
              <w:t>The majority of UN entities now have special measures in place;</w:t>
            </w:r>
            <w:r w:rsidR="00FC7784">
              <w:rPr>
                <w:rFonts w:ascii="Times New Roman" w:hAnsi="Times New Roman" w:cs="Times New Roman"/>
                <w:sz w:val="16"/>
                <w:szCs w:val="16"/>
              </w:rPr>
              <w:t xml:space="preserve"> </w:t>
            </w:r>
            <w:proofErr w:type="gramStart"/>
            <w:r w:rsidR="00FC7784">
              <w:rPr>
                <w:rFonts w:ascii="Times New Roman" w:hAnsi="Times New Roman" w:cs="Times New Roman"/>
                <w:sz w:val="16"/>
                <w:szCs w:val="16"/>
              </w:rPr>
              <w:t>Nine</w:t>
            </w:r>
            <w:proofErr w:type="gramEnd"/>
            <w:r w:rsidR="00FC7784">
              <w:rPr>
                <w:rFonts w:ascii="Times New Roman" w:hAnsi="Times New Roman" w:cs="Times New Roman"/>
                <w:sz w:val="16"/>
                <w:szCs w:val="16"/>
              </w:rPr>
              <w:t xml:space="preserve"> entities</w:t>
            </w:r>
            <w:r w:rsidRPr="005F5C0E">
              <w:rPr>
                <w:rFonts w:ascii="Times New Roman" w:hAnsi="Times New Roman" w:cs="Times New Roman"/>
                <w:sz w:val="16"/>
                <w:szCs w:val="16"/>
              </w:rPr>
              <w:t xml:space="preserve"> intend to implement </w:t>
            </w:r>
            <w:r w:rsidR="00FC7784">
              <w:rPr>
                <w:rFonts w:ascii="Times New Roman" w:hAnsi="Times New Roman" w:cs="Times New Roman"/>
                <w:sz w:val="16"/>
                <w:szCs w:val="16"/>
              </w:rPr>
              <w:t xml:space="preserve">some form of </w:t>
            </w:r>
            <w:r w:rsidRPr="005F5C0E">
              <w:rPr>
                <w:rFonts w:ascii="Times New Roman" w:hAnsi="Times New Roman" w:cs="Times New Roman"/>
                <w:sz w:val="16"/>
                <w:szCs w:val="16"/>
              </w:rPr>
              <w:t xml:space="preserve">special measures </w:t>
            </w:r>
            <w:r>
              <w:rPr>
                <w:rFonts w:ascii="Times New Roman" w:hAnsi="Times New Roman" w:cs="Times New Roman"/>
                <w:sz w:val="16"/>
                <w:szCs w:val="16"/>
              </w:rPr>
              <w:t>over the next 2 years</w:t>
            </w:r>
            <w:r w:rsidR="00FC7784">
              <w:rPr>
                <w:rFonts w:ascii="Times New Roman" w:hAnsi="Times New Roman" w:cs="Times New Roman"/>
                <w:sz w:val="16"/>
                <w:szCs w:val="16"/>
              </w:rPr>
              <w:t>.</w:t>
            </w:r>
          </w:p>
          <w:p w:rsidR="00800000" w:rsidRPr="005F5C0E" w:rsidRDefault="00800000" w:rsidP="00FC7784">
            <w:pPr>
              <w:pStyle w:val="ListParagraph"/>
              <w:numPr>
                <w:ilvl w:val="0"/>
                <w:numId w:val="3"/>
              </w:numPr>
              <w:rPr>
                <w:rFonts w:ascii="Times New Roman" w:hAnsi="Times New Roman" w:cs="Times New Roman"/>
                <w:sz w:val="16"/>
                <w:szCs w:val="16"/>
              </w:rPr>
            </w:pPr>
            <w:r w:rsidRPr="005F5C0E">
              <w:rPr>
                <w:rFonts w:ascii="Times New Roman" w:hAnsi="Times New Roman" w:cs="Times New Roman"/>
                <w:b/>
                <w:sz w:val="16"/>
                <w:szCs w:val="16"/>
              </w:rPr>
              <w:t>Challenges</w:t>
            </w:r>
            <w:r>
              <w:rPr>
                <w:rFonts w:ascii="Times New Roman" w:hAnsi="Times New Roman" w:cs="Times New Roman"/>
                <w:sz w:val="16"/>
                <w:szCs w:val="16"/>
              </w:rPr>
              <w:t xml:space="preserve">: </w:t>
            </w:r>
            <w:r w:rsidR="00FC7784">
              <w:rPr>
                <w:rFonts w:ascii="Times New Roman" w:hAnsi="Times New Roman" w:cs="Times New Roman"/>
                <w:sz w:val="16"/>
                <w:szCs w:val="16"/>
              </w:rPr>
              <w:t>Two entities i</w:t>
            </w:r>
            <w:r w:rsidRPr="005F5C0E">
              <w:rPr>
                <w:rFonts w:ascii="Times New Roman" w:hAnsi="Times New Roman" w:cs="Times New Roman"/>
                <w:sz w:val="16"/>
                <w:szCs w:val="16"/>
              </w:rPr>
              <w:t xml:space="preserve">ntended on instituting special measures </w:t>
            </w:r>
            <w:r>
              <w:rPr>
                <w:rFonts w:ascii="Times New Roman" w:hAnsi="Times New Roman" w:cs="Times New Roman"/>
                <w:sz w:val="16"/>
                <w:szCs w:val="16"/>
              </w:rPr>
              <w:t xml:space="preserve">in 2010 and </w:t>
            </w:r>
            <w:r w:rsidRPr="005F5C0E">
              <w:rPr>
                <w:rFonts w:ascii="Times New Roman" w:hAnsi="Times New Roman" w:cs="Times New Roman"/>
                <w:sz w:val="16"/>
                <w:szCs w:val="16"/>
              </w:rPr>
              <w:t>had not done so; special measures seem to be undermi</w:t>
            </w:r>
            <w:r w:rsidR="00FC7784">
              <w:rPr>
                <w:rFonts w:ascii="Times New Roman" w:hAnsi="Times New Roman" w:cs="Times New Roman"/>
                <w:sz w:val="16"/>
                <w:szCs w:val="16"/>
              </w:rPr>
              <w:t>ned by current staffing systems; lack of understanding about what constitutes special measures.</w:t>
            </w:r>
          </w:p>
        </w:tc>
      </w:tr>
      <w:tr w:rsidR="00800000" w:rsidRPr="005F5C0E" w:rsidTr="003E5891">
        <w:trPr>
          <w:trHeight w:val="1187"/>
        </w:trPr>
        <w:tc>
          <w:tcPr>
            <w:tcW w:w="90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t>Focal Points</w:t>
            </w:r>
          </w:p>
        </w:tc>
        <w:tc>
          <w:tcPr>
            <w:tcW w:w="990" w:type="dxa"/>
            <w:noWrap/>
            <w:hideMark/>
          </w:tcPr>
          <w:p w:rsidR="00800000" w:rsidRPr="005F5C0E" w:rsidRDefault="00FC7784" w:rsidP="003E5891">
            <w:pPr>
              <w:rPr>
                <w:rFonts w:ascii="Times New Roman" w:hAnsi="Times New Roman" w:cs="Times New Roman"/>
                <w:sz w:val="16"/>
                <w:szCs w:val="16"/>
              </w:rPr>
            </w:pPr>
            <w:r>
              <w:rPr>
                <w:rFonts w:ascii="Times New Roman" w:hAnsi="Times New Roman" w:cs="Times New Roman"/>
                <w:sz w:val="16"/>
                <w:szCs w:val="16"/>
              </w:rPr>
              <w:t>32</w:t>
            </w:r>
          </w:p>
        </w:tc>
        <w:tc>
          <w:tcPr>
            <w:tcW w:w="900" w:type="dxa"/>
            <w:noWrap/>
            <w:hideMark/>
          </w:tcPr>
          <w:p w:rsidR="00800000" w:rsidRPr="005F5C0E" w:rsidRDefault="00FC7784" w:rsidP="003E5891">
            <w:pPr>
              <w:rPr>
                <w:rFonts w:ascii="Times New Roman" w:hAnsi="Times New Roman" w:cs="Times New Roman"/>
                <w:sz w:val="16"/>
                <w:szCs w:val="16"/>
              </w:rPr>
            </w:pPr>
            <w:r>
              <w:rPr>
                <w:rFonts w:ascii="Times New Roman" w:hAnsi="Times New Roman" w:cs="Times New Roman"/>
                <w:sz w:val="16"/>
                <w:szCs w:val="16"/>
              </w:rPr>
              <w:t>19</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18/30</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N/A</w:t>
            </w:r>
          </w:p>
        </w:tc>
        <w:tc>
          <w:tcPr>
            <w:tcW w:w="1800" w:type="dxa"/>
            <w:noWrap/>
            <w:hideMark/>
          </w:tcPr>
          <w:p w:rsidR="00800000" w:rsidRPr="005F5C0E" w:rsidRDefault="001906AA" w:rsidP="003E5891">
            <w:pPr>
              <w:rPr>
                <w:rFonts w:ascii="Times New Roman" w:hAnsi="Times New Roman" w:cs="Times New Roman"/>
                <w:sz w:val="16"/>
                <w:szCs w:val="16"/>
              </w:rPr>
            </w:pPr>
            <w:r>
              <w:rPr>
                <w:rFonts w:ascii="Times New Roman" w:hAnsi="Times New Roman" w:cs="Times New Roman"/>
                <w:sz w:val="16"/>
                <w:szCs w:val="16"/>
              </w:rPr>
              <w:t>Increase of 1 since 2009</w:t>
            </w:r>
          </w:p>
        </w:tc>
        <w:tc>
          <w:tcPr>
            <w:tcW w:w="4770" w:type="dxa"/>
          </w:tcPr>
          <w:p w:rsidR="00800000" w:rsidRPr="005F5C0E" w:rsidRDefault="00800000" w:rsidP="00800000">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F</w:t>
            </w:r>
            <w:r w:rsidRPr="005F5C0E">
              <w:rPr>
                <w:rFonts w:ascii="Times New Roman" w:hAnsi="Times New Roman" w:cs="Times New Roman"/>
                <w:sz w:val="16"/>
                <w:szCs w:val="16"/>
              </w:rPr>
              <w:t>ocal points appointed from P-4 levels</w:t>
            </w:r>
            <w:r>
              <w:rPr>
                <w:rFonts w:ascii="Times New Roman" w:hAnsi="Times New Roman" w:cs="Times New Roman"/>
                <w:sz w:val="16"/>
                <w:szCs w:val="16"/>
              </w:rPr>
              <w:t xml:space="preserve"> and above: 6 entities</w:t>
            </w:r>
            <w:r w:rsidR="009D6FA6">
              <w:rPr>
                <w:rFonts w:ascii="Times New Roman" w:hAnsi="Times New Roman" w:cs="Times New Roman"/>
                <w:sz w:val="16"/>
                <w:szCs w:val="16"/>
              </w:rPr>
              <w:t>.</w:t>
            </w:r>
          </w:p>
          <w:p w:rsidR="009D6FA6" w:rsidRDefault="009D6FA6" w:rsidP="00800000">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 xml:space="preserve">Single </w:t>
            </w:r>
            <w:r w:rsidR="00800000" w:rsidRPr="005F5C0E">
              <w:rPr>
                <w:rFonts w:ascii="Times New Roman" w:hAnsi="Times New Roman" w:cs="Times New Roman"/>
                <w:sz w:val="16"/>
                <w:szCs w:val="16"/>
              </w:rPr>
              <w:t>focal point for the entire entity</w:t>
            </w:r>
            <w:r w:rsidR="00800000">
              <w:rPr>
                <w:rFonts w:ascii="Times New Roman" w:hAnsi="Times New Roman" w:cs="Times New Roman"/>
                <w:sz w:val="16"/>
                <w:szCs w:val="16"/>
              </w:rPr>
              <w:t>: 8 entities</w:t>
            </w:r>
            <w:r>
              <w:rPr>
                <w:rFonts w:ascii="Times New Roman" w:hAnsi="Times New Roman" w:cs="Times New Roman"/>
                <w:sz w:val="16"/>
                <w:szCs w:val="16"/>
              </w:rPr>
              <w:t>.</w:t>
            </w:r>
          </w:p>
          <w:p w:rsidR="00800000" w:rsidRDefault="00800000" w:rsidP="00800000">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N</w:t>
            </w:r>
            <w:r w:rsidR="009D6FA6">
              <w:rPr>
                <w:rFonts w:ascii="Times New Roman" w:hAnsi="Times New Roman" w:cs="Times New Roman"/>
                <w:sz w:val="16"/>
                <w:szCs w:val="16"/>
              </w:rPr>
              <w:t>etwork of</w:t>
            </w:r>
            <w:r w:rsidRPr="005F5C0E">
              <w:rPr>
                <w:rFonts w:ascii="Times New Roman" w:hAnsi="Times New Roman" w:cs="Times New Roman"/>
                <w:sz w:val="16"/>
                <w:szCs w:val="16"/>
              </w:rPr>
              <w:t xml:space="preserve"> focal points in smaller adminis</w:t>
            </w:r>
            <w:r>
              <w:rPr>
                <w:rFonts w:ascii="Times New Roman" w:hAnsi="Times New Roman" w:cs="Times New Roman"/>
                <w:sz w:val="16"/>
                <w:szCs w:val="16"/>
              </w:rPr>
              <w:t>trative units or duty stations: 10 entities</w:t>
            </w:r>
            <w:r w:rsidR="009D6FA6">
              <w:rPr>
                <w:rFonts w:ascii="Times New Roman" w:hAnsi="Times New Roman" w:cs="Times New Roman"/>
                <w:sz w:val="16"/>
                <w:szCs w:val="16"/>
              </w:rPr>
              <w:t>.</w:t>
            </w:r>
          </w:p>
          <w:p w:rsidR="009D6FA6" w:rsidRDefault="00627DEB" w:rsidP="00800000">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Number of entities in which FPs are allocated between 10 and 20 per cent of their time for duties: 5.</w:t>
            </w:r>
          </w:p>
          <w:p w:rsidR="00627DEB" w:rsidRPr="005F5C0E" w:rsidRDefault="00627DEB" w:rsidP="00800000">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Number of entities in which FPs are allocated less than 10 per cent of their time for FP duties: 13.</w:t>
            </w:r>
          </w:p>
          <w:p w:rsidR="00C86C46" w:rsidRPr="00C86C46" w:rsidRDefault="00C86C46" w:rsidP="00800000">
            <w:pPr>
              <w:pStyle w:val="ListParagraph"/>
              <w:numPr>
                <w:ilvl w:val="0"/>
                <w:numId w:val="4"/>
              </w:numPr>
              <w:rPr>
                <w:rFonts w:ascii="Times New Roman" w:hAnsi="Times New Roman" w:cs="Times New Roman"/>
                <w:sz w:val="16"/>
                <w:szCs w:val="16"/>
              </w:rPr>
            </w:pPr>
            <w:r w:rsidRPr="0055094C">
              <w:rPr>
                <w:rFonts w:ascii="Times New Roman" w:hAnsi="Times New Roman" w:cs="Times New Roman"/>
                <w:sz w:val="16"/>
                <w:szCs w:val="16"/>
              </w:rPr>
              <w:t>Number of entities identifying ‘L</w:t>
            </w:r>
            <w:r>
              <w:rPr>
                <w:rFonts w:ascii="Times New Roman" w:hAnsi="Times New Roman" w:cs="Times New Roman"/>
                <w:sz w:val="16"/>
                <w:szCs w:val="16"/>
              </w:rPr>
              <w:t>ack of Focal Points</w:t>
            </w:r>
            <w:r w:rsidRPr="0055094C">
              <w:rPr>
                <w:rFonts w:ascii="Times New Roman" w:hAnsi="Times New Roman" w:cs="Times New Roman"/>
                <w:sz w:val="16"/>
                <w:szCs w:val="16"/>
              </w:rPr>
              <w:t>’ among top 3 impediments to gender p</w:t>
            </w:r>
            <w:r>
              <w:rPr>
                <w:rFonts w:ascii="Times New Roman" w:hAnsi="Times New Roman" w:cs="Times New Roman"/>
                <w:sz w:val="16"/>
                <w:szCs w:val="16"/>
              </w:rPr>
              <w:t xml:space="preserve">arity: </w:t>
            </w:r>
            <w:r w:rsidRPr="0055094C">
              <w:rPr>
                <w:rFonts w:ascii="Times New Roman" w:hAnsi="Times New Roman" w:cs="Times New Roman"/>
                <w:sz w:val="16"/>
                <w:szCs w:val="16"/>
              </w:rPr>
              <w:t>3.</w:t>
            </w:r>
          </w:p>
          <w:p w:rsidR="00800000" w:rsidRPr="00C86C46" w:rsidRDefault="00800000" w:rsidP="00C86C46">
            <w:pPr>
              <w:ind w:left="360"/>
              <w:rPr>
                <w:rFonts w:ascii="Times New Roman" w:hAnsi="Times New Roman" w:cs="Times New Roman"/>
                <w:sz w:val="16"/>
                <w:szCs w:val="16"/>
              </w:rPr>
            </w:pPr>
          </w:p>
        </w:tc>
        <w:tc>
          <w:tcPr>
            <w:tcW w:w="4140" w:type="dxa"/>
          </w:tcPr>
          <w:p w:rsidR="00800000" w:rsidRPr="005F5C0E" w:rsidRDefault="00800000" w:rsidP="00800000">
            <w:pPr>
              <w:pStyle w:val="ListParagraph"/>
              <w:numPr>
                <w:ilvl w:val="0"/>
                <w:numId w:val="4"/>
              </w:numPr>
              <w:rPr>
                <w:rFonts w:ascii="Times New Roman" w:hAnsi="Times New Roman" w:cs="Times New Roman"/>
                <w:sz w:val="16"/>
                <w:szCs w:val="16"/>
              </w:rPr>
            </w:pPr>
            <w:r w:rsidRPr="005F5C0E">
              <w:rPr>
                <w:rFonts w:ascii="Times New Roman" w:hAnsi="Times New Roman" w:cs="Times New Roman"/>
                <w:b/>
                <w:bCs/>
                <w:sz w:val="16"/>
                <w:szCs w:val="16"/>
              </w:rPr>
              <w:t>Progress:</w:t>
            </w:r>
            <w:r>
              <w:rPr>
                <w:rFonts w:ascii="Times New Roman" w:hAnsi="Times New Roman" w:cs="Times New Roman"/>
                <w:bCs/>
                <w:sz w:val="16"/>
                <w:szCs w:val="16"/>
              </w:rPr>
              <w:t xml:space="preserve"> </w:t>
            </w:r>
            <w:r w:rsidR="009D6FA6">
              <w:rPr>
                <w:rFonts w:ascii="Times New Roman" w:hAnsi="Times New Roman" w:cs="Times New Roman"/>
                <w:bCs/>
                <w:sz w:val="16"/>
                <w:szCs w:val="16"/>
              </w:rPr>
              <w:t xml:space="preserve">UN-SWAP now requires FPs to be designated from level P-4 or above, with written </w:t>
            </w:r>
            <w:proofErr w:type="spellStart"/>
            <w:r w:rsidR="009D6FA6">
              <w:rPr>
                <w:rFonts w:ascii="Times New Roman" w:hAnsi="Times New Roman" w:cs="Times New Roman"/>
                <w:bCs/>
                <w:sz w:val="16"/>
                <w:szCs w:val="16"/>
              </w:rPr>
              <w:t>ToRs</w:t>
            </w:r>
            <w:proofErr w:type="spellEnd"/>
            <w:r w:rsidR="009D6FA6">
              <w:rPr>
                <w:rFonts w:ascii="Times New Roman" w:hAnsi="Times New Roman" w:cs="Times New Roman"/>
                <w:bCs/>
                <w:sz w:val="16"/>
                <w:szCs w:val="16"/>
              </w:rPr>
              <w:t xml:space="preserve"> and 20%</w:t>
            </w:r>
            <w:r w:rsidR="00627DEB">
              <w:rPr>
                <w:rFonts w:ascii="Times New Roman" w:hAnsi="Times New Roman" w:cs="Times New Roman"/>
                <w:bCs/>
                <w:sz w:val="16"/>
                <w:szCs w:val="16"/>
              </w:rPr>
              <w:t xml:space="preserve"> of time allocated to FP duties; IFAD designated more than 50 per cent of FP time to related duties.</w:t>
            </w:r>
          </w:p>
          <w:p w:rsidR="00800000" w:rsidRPr="005F5C0E" w:rsidRDefault="00800000" w:rsidP="00800000">
            <w:pPr>
              <w:pStyle w:val="ListParagraph"/>
              <w:numPr>
                <w:ilvl w:val="0"/>
                <w:numId w:val="4"/>
              </w:numPr>
              <w:rPr>
                <w:rFonts w:ascii="Times New Roman" w:hAnsi="Times New Roman" w:cs="Times New Roman"/>
                <w:sz w:val="16"/>
                <w:szCs w:val="16"/>
              </w:rPr>
            </w:pPr>
            <w:r w:rsidRPr="005F5C0E">
              <w:rPr>
                <w:rFonts w:ascii="Times New Roman" w:hAnsi="Times New Roman" w:cs="Times New Roman"/>
                <w:b/>
                <w:sz w:val="16"/>
                <w:szCs w:val="16"/>
              </w:rPr>
              <w:t xml:space="preserve">Challenges: </w:t>
            </w:r>
            <w:r w:rsidRPr="005F5C0E">
              <w:rPr>
                <w:rFonts w:ascii="Times New Roman" w:hAnsi="Times New Roman" w:cs="Times New Roman"/>
                <w:sz w:val="16"/>
                <w:szCs w:val="16"/>
              </w:rPr>
              <w:t>The voluntary nature of gender balance focal points is an impediment because their workload far outweighs the voluntary designation of responsibilities.</w:t>
            </w:r>
          </w:p>
        </w:tc>
      </w:tr>
      <w:tr w:rsidR="00800000" w:rsidRPr="005F5C0E" w:rsidTr="003E5891">
        <w:trPr>
          <w:trHeight w:val="2330"/>
        </w:trPr>
        <w:tc>
          <w:tcPr>
            <w:tcW w:w="90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t>Flexible Work Arrangements</w:t>
            </w:r>
          </w:p>
        </w:tc>
        <w:tc>
          <w:tcPr>
            <w:tcW w:w="99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32</w:t>
            </w:r>
          </w:p>
        </w:tc>
        <w:tc>
          <w:tcPr>
            <w:tcW w:w="900" w:type="dxa"/>
            <w:hideMark/>
          </w:tcPr>
          <w:p w:rsidR="003B470B" w:rsidRDefault="003B470B" w:rsidP="003E5891">
            <w:pPr>
              <w:rPr>
                <w:rFonts w:ascii="Times New Roman" w:hAnsi="Times New Roman" w:cs="Times New Roman"/>
                <w:sz w:val="16"/>
                <w:szCs w:val="16"/>
              </w:rPr>
            </w:pPr>
            <w:r>
              <w:rPr>
                <w:rFonts w:ascii="Times New Roman" w:hAnsi="Times New Roman" w:cs="Times New Roman"/>
                <w:sz w:val="16"/>
                <w:szCs w:val="16"/>
              </w:rPr>
              <w:t>Part-time work: 28/32</w:t>
            </w:r>
          </w:p>
          <w:p w:rsidR="003B470B" w:rsidRDefault="003B470B" w:rsidP="003E5891">
            <w:pPr>
              <w:rPr>
                <w:rFonts w:ascii="Times New Roman" w:hAnsi="Times New Roman" w:cs="Times New Roman"/>
                <w:sz w:val="16"/>
                <w:szCs w:val="16"/>
              </w:rPr>
            </w:pPr>
          </w:p>
          <w:p w:rsidR="00800000" w:rsidRPr="003B470B" w:rsidRDefault="003B470B" w:rsidP="003E5891">
            <w:pPr>
              <w:rPr>
                <w:rFonts w:ascii="Times New Roman" w:hAnsi="Times New Roman" w:cs="Times New Roman"/>
                <w:sz w:val="16"/>
                <w:szCs w:val="16"/>
              </w:rPr>
            </w:pPr>
            <w:r>
              <w:rPr>
                <w:rFonts w:ascii="Times New Roman" w:hAnsi="Times New Roman" w:cs="Times New Roman"/>
                <w:sz w:val="16"/>
                <w:szCs w:val="16"/>
              </w:rPr>
              <w:t>Staggered working hours: 25/32</w:t>
            </w:r>
          </w:p>
          <w:p w:rsidR="00800000" w:rsidRPr="003B470B" w:rsidRDefault="003B470B" w:rsidP="00112EB5">
            <w:pPr>
              <w:rPr>
                <w:rFonts w:ascii="Times New Roman" w:hAnsi="Times New Roman" w:cs="Times New Roman"/>
                <w:sz w:val="16"/>
                <w:szCs w:val="16"/>
              </w:rPr>
            </w:pPr>
            <w:r>
              <w:rPr>
                <w:rFonts w:ascii="Times New Roman" w:hAnsi="Times New Roman" w:cs="Times New Roman"/>
                <w:sz w:val="16"/>
                <w:szCs w:val="16"/>
              </w:rPr>
              <w:br/>
              <w:t>T</w:t>
            </w:r>
            <w:r w:rsidR="00800000" w:rsidRPr="003B470B">
              <w:rPr>
                <w:rFonts w:ascii="Times New Roman" w:hAnsi="Times New Roman" w:cs="Times New Roman"/>
                <w:sz w:val="16"/>
                <w:szCs w:val="16"/>
              </w:rPr>
              <w:t>elecommuting</w:t>
            </w:r>
            <w:r>
              <w:rPr>
                <w:rFonts w:ascii="Times New Roman" w:hAnsi="Times New Roman" w:cs="Times New Roman"/>
                <w:sz w:val="16"/>
                <w:szCs w:val="16"/>
              </w:rPr>
              <w:t>: 25/32</w:t>
            </w:r>
            <w:r w:rsidR="00800000" w:rsidRPr="003B470B">
              <w:rPr>
                <w:rFonts w:ascii="Times New Roman" w:hAnsi="Times New Roman" w:cs="Times New Roman"/>
                <w:sz w:val="16"/>
                <w:szCs w:val="16"/>
              </w:rPr>
              <w:br/>
            </w:r>
            <w:r w:rsidR="00800000" w:rsidRPr="003B470B">
              <w:rPr>
                <w:rFonts w:ascii="Times New Roman" w:hAnsi="Times New Roman" w:cs="Times New Roman"/>
                <w:sz w:val="16"/>
                <w:szCs w:val="16"/>
              </w:rPr>
              <w:br/>
            </w:r>
            <w:r>
              <w:rPr>
                <w:rFonts w:ascii="Times New Roman" w:hAnsi="Times New Roman" w:cs="Times New Roman"/>
                <w:sz w:val="16"/>
                <w:szCs w:val="16"/>
              </w:rPr>
              <w:t>S</w:t>
            </w:r>
            <w:r w:rsidR="00800000" w:rsidRPr="003B470B">
              <w:rPr>
                <w:rFonts w:ascii="Times New Roman" w:hAnsi="Times New Roman" w:cs="Times New Roman"/>
                <w:sz w:val="16"/>
                <w:szCs w:val="16"/>
              </w:rPr>
              <w:t>chedule</w:t>
            </w:r>
            <w:r>
              <w:rPr>
                <w:rFonts w:ascii="Times New Roman" w:hAnsi="Times New Roman" w:cs="Times New Roman"/>
                <w:sz w:val="16"/>
                <w:szCs w:val="16"/>
              </w:rPr>
              <w:t>d breaks for learning: 20/32</w:t>
            </w:r>
            <w:r>
              <w:rPr>
                <w:rFonts w:ascii="Times New Roman" w:hAnsi="Times New Roman" w:cs="Times New Roman"/>
                <w:sz w:val="16"/>
                <w:szCs w:val="16"/>
              </w:rPr>
              <w:br/>
            </w:r>
            <w:r>
              <w:rPr>
                <w:rFonts w:ascii="Times New Roman" w:hAnsi="Times New Roman" w:cs="Times New Roman"/>
                <w:sz w:val="16"/>
                <w:szCs w:val="16"/>
              </w:rPr>
              <w:br/>
              <w:t>Compressed work schedules: 14/32</w:t>
            </w:r>
          </w:p>
        </w:tc>
        <w:tc>
          <w:tcPr>
            <w:tcW w:w="810" w:type="dxa"/>
            <w:hideMark/>
          </w:tcPr>
          <w:p w:rsidR="00112EB5" w:rsidRDefault="00112EB5" w:rsidP="003E5891">
            <w:pPr>
              <w:rPr>
                <w:rFonts w:ascii="Times New Roman" w:hAnsi="Times New Roman" w:cs="Times New Roman"/>
                <w:sz w:val="16"/>
                <w:szCs w:val="16"/>
              </w:rPr>
            </w:pPr>
            <w:r>
              <w:rPr>
                <w:rFonts w:ascii="Times New Roman" w:hAnsi="Times New Roman" w:cs="Times New Roman"/>
                <w:sz w:val="16"/>
                <w:szCs w:val="16"/>
              </w:rPr>
              <w:t>Part-time work: 24/31</w:t>
            </w:r>
          </w:p>
          <w:p w:rsidR="00112EB5" w:rsidRDefault="00112EB5" w:rsidP="003E5891">
            <w:pPr>
              <w:rPr>
                <w:rFonts w:ascii="Times New Roman" w:hAnsi="Times New Roman" w:cs="Times New Roman"/>
                <w:sz w:val="16"/>
                <w:szCs w:val="16"/>
              </w:rPr>
            </w:pPr>
          </w:p>
          <w:p w:rsidR="00112EB5" w:rsidRDefault="00112EB5" w:rsidP="00112EB5">
            <w:pPr>
              <w:rPr>
                <w:rFonts w:ascii="Times New Roman" w:hAnsi="Times New Roman" w:cs="Times New Roman"/>
                <w:sz w:val="16"/>
                <w:szCs w:val="16"/>
              </w:rPr>
            </w:pPr>
            <w:r>
              <w:rPr>
                <w:rFonts w:ascii="Times New Roman" w:hAnsi="Times New Roman" w:cs="Times New Roman"/>
                <w:sz w:val="16"/>
                <w:szCs w:val="16"/>
              </w:rPr>
              <w:t>Staggered working hours: 21/31</w:t>
            </w:r>
            <w:r>
              <w:rPr>
                <w:rFonts w:ascii="Times New Roman" w:hAnsi="Times New Roman" w:cs="Times New Roman"/>
                <w:sz w:val="16"/>
                <w:szCs w:val="16"/>
              </w:rPr>
              <w:br/>
            </w:r>
          </w:p>
          <w:p w:rsidR="00800000" w:rsidRPr="003B470B" w:rsidRDefault="00112EB5" w:rsidP="00112EB5">
            <w:pPr>
              <w:rPr>
                <w:rFonts w:ascii="Times New Roman" w:hAnsi="Times New Roman" w:cs="Times New Roman"/>
                <w:sz w:val="16"/>
                <w:szCs w:val="16"/>
              </w:rPr>
            </w:pPr>
            <w:r>
              <w:rPr>
                <w:rFonts w:ascii="Times New Roman" w:hAnsi="Times New Roman" w:cs="Times New Roman"/>
                <w:sz w:val="16"/>
                <w:szCs w:val="16"/>
              </w:rPr>
              <w:t>T</w:t>
            </w:r>
            <w:r w:rsidRPr="003B470B">
              <w:rPr>
                <w:rFonts w:ascii="Times New Roman" w:hAnsi="Times New Roman" w:cs="Times New Roman"/>
                <w:sz w:val="16"/>
                <w:szCs w:val="16"/>
              </w:rPr>
              <w:t>elecommuting</w:t>
            </w:r>
            <w:r>
              <w:rPr>
                <w:rFonts w:ascii="Times New Roman" w:hAnsi="Times New Roman" w:cs="Times New Roman"/>
                <w:sz w:val="16"/>
                <w:szCs w:val="16"/>
              </w:rPr>
              <w:t>: 23/31</w:t>
            </w:r>
            <w:r w:rsidR="00800000" w:rsidRPr="003B470B">
              <w:rPr>
                <w:rFonts w:ascii="Times New Roman" w:hAnsi="Times New Roman" w:cs="Times New Roman"/>
                <w:sz w:val="16"/>
                <w:szCs w:val="16"/>
              </w:rPr>
              <w:br/>
            </w:r>
            <w:r w:rsidR="00800000" w:rsidRPr="003B470B">
              <w:rPr>
                <w:rFonts w:ascii="Times New Roman" w:hAnsi="Times New Roman" w:cs="Times New Roman"/>
                <w:sz w:val="16"/>
                <w:szCs w:val="16"/>
              </w:rPr>
              <w:br/>
            </w:r>
            <w:r>
              <w:rPr>
                <w:rFonts w:ascii="Times New Roman" w:hAnsi="Times New Roman" w:cs="Times New Roman"/>
                <w:sz w:val="16"/>
                <w:szCs w:val="16"/>
              </w:rPr>
              <w:t>S</w:t>
            </w:r>
            <w:r w:rsidRPr="003B470B">
              <w:rPr>
                <w:rFonts w:ascii="Times New Roman" w:hAnsi="Times New Roman" w:cs="Times New Roman"/>
                <w:sz w:val="16"/>
                <w:szCs w:val="16"/>
              </w:rPr>
              <w:t>chedule</w:t>
            </w:r>
            <w:r>
              <w:rPr>
                <w:rFonts w:ascii="Times New Roman" w:hAnsi="Times New Roman" w:cs="Times New Roman"/>
                <w:sz w:val="16"/>
                <w:szCs w:val="16"/>
              </w:rPr>
              <w:t>d breaks for learning: 13/31</w:t>
            </w:r>
            <w:r w:rsidR="00800000" w:rsidRPr="003B470B">
              <w:rPr>
                <w:rFonts w:ascii="Times New Roman" w:hAnsi="Times New Roman" w:cs="Times New Roman"/>
                <w:sz w:val="16"/>
                <w:szCs w:val="16"/>
              </w:rPr>
              <w:br/>
            </w:r>
            <w:r w:rsidR="00800000" w:rsidRPr="003B470B">
              <w:rPr>
                <w:rFonts w:ascii="Times New Roman" w:hAnsi="Times New Roman" w:cs="Times New Roman"/>
                <w:sz w:val="16"/>
                <w:szCs w:val="16"/>
              </w:rPr>
              <w:br/>
            </w:r>
            <w:r>
              <w:rPr>
                <w:rFonts w:ascii="Times New Roman" w:hAnsi="Times New Roman" w:cs="Times New Roman"/>
                <w:sz w:val="16"/>
                <w:szCs w:val="16"/>
              </w:rPr>
              <w:t>Compressed work schedules: 12/31</w:t>
            </w:r>
          </w:p>
        </w:tc>
        <w:tc>
          <w:tcPr>
            <w:tcW w:w="810" w:type="dxa"/>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N/A</w:t>
            </w:r>
          </w:p>
        </w:tc>
        <w:tc>
          <w:tcPr>
            <w:tcW w:w="1800" w:type="dxa"/>
            <w:hideMark/>
          </w:tcPr>
          <w:p w:rsidR="00112EB5" w:rsidRDefault="00112EB5" w:rsidP="003E5891">
            <w:pPr>
              <w:rPr>
                <w:rFonts w:ascii="Times New Roman" w:hAnsi="Times New Roman" w:cs="Times New Roman"/>
                <w:sz w:val="16"/>
                <w:szCs w:val="16"/>
              </w:rPr>
            </w:pPr>
            <w:r>
              <w:rPr>
                <w:rFonts w:ascii="Times New Roman" w:hAnsi="Times New Roman" w:cs="Times New Roman"/>
                <w:sz w:val="16"/>
                <w:szCs w:val="16"/>
              </w:rPr>
              <w:t>Part-time work: increase of 4 since 2009</w:t>
            </w:r>
          </w:p>
          <w:p w:rsidR="00112EB5" w:rsidRDefault="00112EB5" w:rsidP="003E5891">
            <w:pPr>
              <w:rPr>
                <w:rFonts w:ascii="Times New Roman" w:hAnsi="Times New Roman" w:cs="Times New Roman"/>
                <w:sz w:val="16"/>
                <w:szCs w:val="16"/>
              </w:rPr>
            </w:pPr>
          </w:p>
          <w:p w:rsidR="00800000" w:rsidRDefault="00112EB5" w:rsidP="00112EB5">
            <w:pPr>
              <w:rPr>
                <w:rFonts w:ascii="Times New Roman" w:hAnsi="Times New Roman" w:cs="Times New Roman"/>
                <w:sz w:val="16"/>
                <w:szCs w:val="16"/>
              </w:rPr>
            </w:pPr>
            <w:r>
              <w:rPr>
                <w:rFonts w:ascii="Times New Roman" w:hAnsi="Times New Roman" w:cs="Times New Roman"/>
                <w:sz w:val="16"/>
                <w:szCs w:val="16"/>
              </w:rPr>
              <w:t>Staggered working hours: increase of 4 since 2009</w:t>
            </w:r>
          </w:p>
          <w:p w:rsidR="00112EB5" w:rsidRDefault="00112EB5" w:rsidP="00112EB5">
            <w:pPr>
              <w:rPr>
                <w:rFonts w:ascii="Times New Roman" w:hAnsi="Times New Roman" w:cs="Times New Roman"/>
                <w:sz w:val="16"/>
                <w:szCs w:val="16"/>
              </w:rPr>
            </w:pPr>
          </w:p>
          <w:p w:rsidR="00112EB5" w:rsidRDefault="00112EB5" w:rsidP="00112EB5">
            <w:pPr>
              <w:rPr>
                <w:rFonts w:ascii="Times New Roman" w:hAnsi="Times New Roman" w:cs="Times New Roman"/>
                <w:sz w:val="16"/>
                <w:szCs w:val="16"/>
              </w:rPr>
            </w:pPr>
            <w:r>
              <w:rPr>
                <w:rFonts w:ascii="Times New Roman" w:hAnsi="Times New Roman" w:cs="Times New Roman"/>
                <w:sz w:val="16"/>
                <w:szCs w:val="16"/>
              </w:rPr>
              <w:t>Telecommuting: increase of 2 since 2009</w:t>
            </w:r>
          </w:p>
          <w:p w:rsidR="00112EB5" w:rsidRDefault="00112EB5" w:rsidP="00112EB5">
            <w:pPr>
              <w:rPr>
                <w:rFonts w:ascii="Times New Roman" w:hAnsi="Times New Roman" w:cs="Times New Roman"/>
                <w:sz w:val="16"/>
                <w:szCs w:val="16"/>
              </w:rPr>
            </w:pPr>
          </w:p>
          <w:p w:rsidR="00112EB5" w:rsidRDefault="00112EB5" w:rsidP="00112EB5">
            <w:pPr>
              <w:rPr>
                <w:rFonts w:ascii="Times New Roman" w:hAnsi="Times New Roman" w:cs="Times New Roman"/>
                <w:sz w:val="16"/>
                <w:szCs w:val="16"/>
              </w:rPr>
            </w:pPr>
            <w:r>
              <w:rPr>
                <w:rFonts w:ascii="Times New Roman" w:hAnsi="Times New Roman" w:cs="Times New Roman"/>
                <w:sz w:val="16"/>
                <w:szCs w:val="16"/>
              </w:rPr>
              <w:t>Scheduled breaks for learning: increase of 7 since 2009</w:t>
            </w:r>
          </w:p>
          <w:p w:rsidR="00112EB5" w:rsidRDefault="00112EB5" w:rsidP="00112EB5">
            <w:pPr>
              <w:rPr>
                <w:rFonts w:ascii="Times New Roman" w:hAnsi="Times New Roman" w:cs="Times New Roman"/>
                <w:sz w:val="16"/>
                <w:szCs w:val="16"/>
              </w:rPr>
            </w:pPr>
          </w:p>
          <w:p w:rsidR="00112EB5" w:rsidRPr="005F5C0E" w:rsidRDefault="00112EB5" w:rsidP="00112EB5">
            <w:pPr>
              <w:rPr>
                <w:rFonts w:ascii="Times New Roman" w:hAnsi="Times New Roman" w:cs="Times New Roman"/>
                <w:sz w:val="16"/>
                <w:szCs w:val="16"/>
              </w:rPr>
            </w:pPr>
            <w:r>
              <w:rPr>
                <w:rFonts w:ascii="Times New Roman" w:hAnsi="Times New Roman" w:cs="Times New Roman"/>
                <w:sz w:val="16"/>
                <w:szCs w:val="16"/>
              </w:rPr>
              <w:t>Compressed work schedules: increase of 2 since 2009</w:t>
            </w:r>
          </w:p>
        </w:tc>
        <w:tc>
          <w:tcPr>
            <w:tcW w:w="4770" w:type="dxa"/>
          </w:tcPr>
          <w:p w:rsidR="003B470B" w:rsidRDefault="003B470B" w:rsidP="00800000">
            <w:pPr>
              <w:pStyle w:val="ListParagraph"/>
              <w:numPr>
                <w:ilvl w:val="0"/>
                <w:numId w:val="5"/>
              </w:numPr>
              <w:rPr>
                <w:rFonts w:ascii="Times New Roman" w:hAnsi="Times New Roman" w:cs="Times New Roman"/>
                <w:sz w:val="16"/>
                <w:szCs w:val="16"/>
              </w:rPr>
            </w:pPr>
            <w:r>
              <w:rPr>
                <w:rFonts w:ascii="Times New Roman" w:hAnsi="Times New Roman" w:cs="Times New Roman"/>
                <w:sz w:val="16"/>
                <w:szCs w:val="16"/>
              </w:rPr>
              <w:t>All en</w:t>
            </w:r>
            <w:r w:rsidR="00112EB5">
              <w:rPr>
                <w:rFonts w:ascii="Times New Roman" w:hAnsi="Times New Roman" w:cs="Times New Roman"/>
                <w:sz w:val="16"/>
                <w:szCs w:val="16"/>
              </w:rPr>
              <w:t>tities offered some form of FWA</w:t>
            </w:r>
            <w:r>
              <w:rPr>
                <w:rFonts w:ascii="Times New Roman" w:hAnsi="Times New Roman" w:cs="Times New Roman"/>
                <w:sz w:val="16"/>
                <w:szCs w:val="16"/>
              </w:rPr>
              <w:t>.</w:t>
            </w:r>
          </w:p>
          <w:p w:rsidR="00800000" w:rsidRPr="005F5C0E" w:rsidRDefault="00112EB5" w:rsidP="00800000">
            <w:pPr>
              <w:pStyle w:val="ListParagraph"/>
              <w:numPr>
                <w:ilvl w:val="0"/>
                <w:numId w:val="5"/>
              </w:numPr>
              <w:rPr>
                <w:rFonts w:ascii="Times New Roman" w:hAnsi="Times New Roman" w:cs="Times New Roman"/>
                <w:sz w:val="16"/>
                <w:szCs w:val="16"/>
              </w:rPr>
            </w:pPr>
            <w:r>
              <w:rPr>
                <w:rFonts w:ascii="Times New Roman" w:hAnsi="Times New Roman" w:cs="Times New Roman"/>
                <w:sz w:val="16"/>
                <w:szCs w:val="16"/>
              </w:rPr>
              <w:t xml:space="preserve">Female </w:t>
            </w:r>
            <w:proofErr w:type="gramStart"/>
            <w:r>
              <w:rPr>
                <w:rFonts w:ascii="Times New Roman" w:hAnsi="Times New Roman" w:cs="Times New Roman"/>
                <w:sz w:val="16"/>
                <w:szCs w:val="16"/>
              </w:rPr>
              <w:t>staff use</w:t>
            </w:r>
            <w:proofErr w:type="gramEnd"/>
            <w:r w:rsidR="00800000" w:rsidRPr="005F5C0E">
              <w:rPr>
                <w:rFonts w:ascii="Times New Roman" w:hAnsi="Times New Roman" w:cs="Times New Roman"/>
                <w:sz w:val="16"/>
                <w:szCs w:val="16"/>
              </w:rPr>
              <w:t xml:space="preserve"> FWAs mor</w:t>
            </w:r>
            <w:r>
              <w:rPr>
                <w:rFonts w:ascii="Times New Roman" w:hAnsi="Times New Roman" w:cs="Times New Roman"/>
                <w:sz w:val="16"/>
                <w:szCs w:val="16"/>
              </w:rPr>
              <w:t xml:space="preserve">e commonly than male staff </w:t>
            </w:r>
            <w:r w:rsidR="003B470B">
              <w:rPr>
                <w:rFonts w:ascii="Times New Roman" w:hAnsi="Times New Roman" w:cs="Times New Roman"/>
                <w:sz w:val="16"/>
                <w:szCs w:val="16"/>
              </w:rPr>
              <w:t>(except staggered working hours and scheduled breaks for learning activities).</w:t>
            </w:r>
          </w:p>
          <w:p w:rsidR="00800000" w:rsidRPr="005F5C0E" w:rsidRDefault="00800000" w:rsidP="00800000">
            <w:pPr>
              <w:pStyle w:val="ListParagraph"/>
              <w:numPr>
                <w:ilvl w:val="0"/>
                <w:numId w:val="5"/>
              </w:numPr>
              <w:rPr>
                <w:rFonts w:ascii="Times New Roman" w:hAnsi="Times New Roman" w:cs="Times New Roman"/>
                <w:sz w:val="16"/>
                <w:szCs w:val="16"/>
              </w:rPr>
            </w:pPr>
            <w:r w:rsidRPr="005F5C0E">
              <w:rPr>
                <w:rFonts w:ascii="Times New Roman" w:hAnsi="Times New Roman" w:cs="Times New Roman"/>
                <w:sz w:val="16"/>
                <w:szCs w:val="16"/>
              </w:rPr>
              <w:t>Most entities said that responsibility for monitoring FWAs resided with their human resources division or with individual supervisors.</w:t>
            </w:r>
          </w:p>
          <w:p w:rsidR="00C86C46" w:rsidRPr="00C86C46" w:rsidRDefault="00C86C46" w:rsidP="00800000">
            <w:pPr>
              <w:pStyle w:val="ListParagraph"/>
              <w:numPr>
                <w:ilvl w:val="0"/>
                <w:numId w:val="5"/>
              </w:numPr>
              <w:rPr>
                <w:rFonts w:ascii="Times New Roman" w:hAnsi="Times New Roman" w:cs="Times New Roman"/>
                <w:sz w:val="16"/>
                <w:szCs w:val="16"/>
              </w:rPr>
            </w:pPr>
            <w:r w:rsidRPr="0055094C">
              <w:rPr>
                <w:rFonts w:ascii="Times New Roman" w:hAnsi="Times New Roman" w:cs="Times New Roman"/>
                <w:sz w:val="16"/>
                <w:szCs w:val="16"/>
              </w:rPr>
              <w:t>Number of entities identifying ‘L</w:t>
            </w:r>
            <w:r>
              <w:rPr>
                <w:rFonts w:ascii="Times New Roman" w:hAnsi="Times New Roman" w:cs="Times New Roman"/>
                <w:sz w:val="16"/>
                <w:szCs w:val="16"/>
              </w:rPr>
              <w:t>ack of FWAs</w:t>
            </w:r>
            <w:r w:rsidRPr="0055094C">
              <w:rPr>
                <w:rFonts w:ascii="Times New Roman" w:hAnsi="Times New Roman" w:cs="Times New Roman"/>
                <w:sz w:val="16"/>
                <w:szCs w:val="16"/>
              </w:rPr>
              <w:t>’ among top 3 impediments to gender p</w:t>
            </w:r>
            <w:r>
              <w:rPr>
                <w:rFonts w:ascii="Times New Roman" w:hAnsi="Times New Roman" w:cs="Times New Roman"/>
                <w:sz w:val="16"/>
                <w:szCs w:val="16"/>
              </w:rPr>
              <w:t>arity: 4.</w:t>
            </w:r>
          </w:p>
          <w:p w:rsidR="003B470B" w:rsidRPr="005F5C0E" w:rsidRDefault="003B470B" w:rsidP="00800000">
            <w:pPr>
              <w:pStyle w:val="ListParagraph"/>
              <w:numPr>
                <w:ilvl w:val="0"/>
                <w:numId w:val="5"/>
              </w:numPr>
              <w:rPr>
                <w:rFonts w:ascii="Times New Roman" w:hAnsi="Times New Roman" w:cs="Times New Roman"/>
                <w:sz w:val="16"/>
                <w:szCs w:val="16"/>
              </w:rPr>
            </w:pPr>
            <w:r w:rsidRPr="003B470B">
              <w:rPr>
                <w:rFonts w:ascii="Times New Roman" w:hAnsi="Times New Roman" w:cs="Times New Roman"/>
                <w:sz w:val="16"/>
                <w:szCs w:val="16"/>
              </w:rPr>
              <w:t>Seven new entities offer scheduled breaks for extended learning activities.</w:t>
            </w:r>
          </w:p>
        </w:tc>
        <w:tc>
          <w:tcPr>
            <w:tcW w:w="4140" w:type="dxa"/>
          </w:tcPr>
          <w:p w:rsidR="00800000" w:rsidRPr="005F5C0E" w:rsidRDefault="00800000" w:rsidP="00800000">
            <w:pPr>
              <w:pStyle w:val="ListParagraph"/>
              <w:numPr>
                <w:ilvl w:val="0"/>
                <w:numId w:val="5"/>
              </w:numPr>
              <w:rPr>
                <w:rFonts w:ascii="Times New Roman" w:hAnsi="Times New Roman" w:cs="Times New Roman"/>
                <w:bCs/>
                <w:sz w:val="16"/>
                <w:szCs w:val="16"/>
              </w:rPr>
            </w:pPr>
            <w:r w:rsidRPr="005F5C0E">
              <w:rPr>
                <w:rFonts w:ascii="Times New Roman" w:hAnsi="Times New Roman" w:cs="Times New Roman"/>
                <w:b/>
                <w:bCs/>
                <w:sz w:val="16"/>
                <w:szCs w:val="16"/>
              </w:rPr>
              <w:t xml:space="preserve">Progress: </w:t>
            </w:r>
            <w:r w:rsidRPr="005F5C0E">
              <w:rPr>
                <w:rFonts w:ascii="Times New Roman" w:hAnsi="Times New Roman" w:cs="Times New Roman"/>
                <w:bCs/>
                <w:sz w:val="16"/>
                <w:szCs w:val="16"/>
              </w:rPr>
              <w:t xml:space="preserve">All the entities had some sort of FWA. The options with the most participants were </w:t>
            </w:r>
            <w:r w:rsidR="00112EB5" w:rsidRPr="005F5C0E">
              <w:rPr>
                <w:rFonts w:ascii="Times New Roman" w:hAnsi="Times New Roman" w:cs="Times New Roman"/>
                <w:bCs/>
                <w:sz w:val="16"/>
                <w:szCs w:val="16"/>
              </w:rPr>
              <w:t>part-time work arrangements</w:t>
            </w:r>
            <w:r w:rsidR="00112EB5">
              <w:rPr>
                <w:rFonts w:ascii="Times New Roman" w:hAnsi="Times New Roman" w:cs="Times New Roman"/>
                <w:bCs/>
                <w:sz w:val="16"/>
                <w:szCs w:val="16"/>
              </w:rPr>
              <w:t>,</w:t>
            </w:r>
            <w:r w:rsidR="00112EB5" w:rsidRPr="005F5C0E">
              <w:rPr>
                <w:rFonts w:ascii="Times New Roman" w:hAnsi="Times New Roman" w:cs="Times New Roman"/>
                <w:bCs/>
                <w:sz w:val="16"/>
                <w:szCs w:val="16"/>
              </w:rPr>
              <w:t xml:space="preserve"> </w:t>
            </w:r>
            <w:r w:rsidRPr="005F5C0E">
              <w:rPr>
                <w:rFonts w:ascii="Times New Roman" w:hAnsi="Times New Roman" w:cs="Times New Roman"/>
                <w:bCs/>
                <w:sz w:val="16"/>
                <w:szCs w:val="16"/>
              </w:rPr>
              <w:t>staggered working hours, telecommuting, and</w:t>
            </w:r>
            <w:r w:rsidR="00112EB5">
              <w:rPr>
                <w:rFonts w:ascii="Times New Roman" w:hAnsi="Times New Roman" w:cs="Times New Roman"/>
                <w:bCs/>
                <w:sz w:val="16"/>
                <w:szCs w:val="16"/>
              </w:rPr>
              <w:t xml:space="preserve"> scheduled breaks for learning activities.</w:t>
            </w:r>
          </w:p>
          <w:p w:rsidR="00800000" w:rsidRPr="005F5C0E" w:rsidRDefault="00800000" w:rsidP="00800000">
            <w:pPr>
              <w:pStyle w:val="ListParagraph"/>
              <w:numPr>
                <w:ilvl w:val="0"/>
                <w:numId w:val="5"/>
              </w:numPr>
              <w:rPr>
                <w:rFonts w:ascii="Times New Roman" w:hAnsi="Times New Roman" w:cs="Times New Roman"/>
                <w:bCs/>
                <w:sz w:val="16"/>
                <w:szCs w:val="16"/>
              </w:rPr>
            </w:pPr>
            <w:r w:rsidRPr="005F5C0E">
              <w:rPr>
                <w:rFonts w:ascii="Times New Roman" w:hAnsi="Times New Roman" w:cs="Times New Roman"/>
                <w:b/>
                <w:bCs/>
                <w:sz w:val="16"/>
                <w:szCs w:val="16"/>
              </w:rPr>
              <w:t xml:space="preserve">Challenges: </w:t>
            </w:r>
            <w:r w:rsidRPr="005F5C0E">
              <w:rPr>
                <w:rFonts w:ascii="Times New Roman" w:hAnsi="Times New Roman" w:cs="Times New Roman"/>
                <w:bCs/>
                <w:sz w:val="16"/>
                <w:szCs w:val="16"/>
              </w:rPr>
              <w:t>Usage of FWAs remains disconcertingly low and the vast majority had less than 10% of staff participating in each arrangement, and many had lower than 1%</w:t>
            </w:r>
            <w:r w:rsidR="003B470B">
              <w:rPr>
                <w:rFonts w:ascii="Times New Roman" w:hAnsi="Times New Roman" w:cs="Times New Roman"/>
                <w:bCs/>
                <w:sz w:val="16"/>
                <w:szCs w:val="16"/>
              </w:rPr>
              <w:t>; less growth was seen in the number of entities offering FWAs that benefit women with caring responsibilities.</w:t>
            </w:r>
          </w:p>
        </w:tc>
      </w:tr>
      <w:tr w:rsidR="00800000" w:rsidRPr="005F5C0E" w:rsidTr="003E5891">
        <w:trPr>
          <w:trHeight w:val="1340"/>
        </w:trPr>
        <w:tc>
          <w:tcPr>
            <w:tcW w:w="90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lastRenderedPageBreak/>
              <w:t>Gender Scorecards</w:t>
            </w:r>
          </w:p>
        </w:tc>
        <w:tc>
          <w:tcPr>
            <w:tcW w:w="99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32</w:t>
            </w:r>
          </w:p>
        </w:tc>
        <w:tc>
          <w:tcPr>
            <w:tcW w:w="90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10</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7/31</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9/30</w:t>
            </w:r>
          </w:p>
        </w:tc>
        <w:tc>
          <w:tcPr>
            <w:tcW w:w="1800" w:type="dxa"/>
            <w:noWrap/>
            <w:hideMark/>
          </w:tcPr>
          <w:p w:rsidR="00800000" w:rsidRPr="005F5C0E" w:rsidRDefault="00D36DBD" w:rsidP="003E5891">
            <w:pPr>
              <w:rPr>
                <w:rFonts w:ascii="Times New Roman" w:hAnsi="Times New Roman" w:cs="Times New Roman"/>
                <w:sz w:val="16"/>
                <w:szCs w:val="16"/>
              </w:rPr>
            </w:pPr>
            <w:r>
              <w:rPr>
                <w:rFonts w:ascii="Times New Roman" w:hAnsi="Times New Roman" w:cs="Times New Roman"/>
                <w:sz w:val="16"/>
                <w:szCs w:val="16"/>
              </w:rPr>
              <w:t>Increase of 3 since 2009</w:t>
            </w:r>
            <w:r w:rsidR="00800000" w:rsidRPr="005F5C0E">
              <w:rPr>
                <w:rFonts w:ascii="Times New Roman" w:hAnsi="Times New Roman" w:cs="Times New Roman"/>
                <w:sz w:val="16"/>
                <w:szCs w:val="16"/>
              </w:rPr>
              <w:t>.</w:t>
            </w:r>
          </w:p>
        </w:tc>
        <w:tc>
          <w:tcPr>
            <w:tcW w:w="4770" w:type="dxa"/>
          </w:tcPr>
          <w:p w:rsidR="00D36DBD" w:rsidRPr="00D36DBD" w:rsidRDefault="00800000" w:rsidP="00D36DBD">
            <w:pPr>
              <w:pStyle w:val="ListParagraph"/>
              <w:numPr>
                <w:ilvl w:val="0"/>
                <w:numId w:val="6"/>
              </w:numPr>
              <w:rPr>
                <w:rFonts w:ascii="Times New Roman" w:hAnsi="Times New Roman" w:cs="Times New Roman"/>
                <w:sz w:val="16"/>
                <w:szCs w:val="16"/>
              </w:rPr>
            </w:pPr>
            <w:r>
              <w:rPr>
                <w:rFonts w:ascii="Times New Roman" w:hAnsi="Times New Roman" w:cs="Times New Roman"/>
                <w:sz w:val="16"/>
                <w:szCs w:val="16"/>
              </w:rPr>
              <w:t>All</w:t>
            </w:r>
            <w:r w:rsidRPr="005F5C0E">
              <w:rPr>
                <w:rFonts w:ascii="Times New Roman" w:hAnsi="Times New Roman" w:cs="Times New Roman"/>
                <w:sz w:val="16"/>
                <w:szCs w:val="16"/>
              </w:rPr>
              <w:t xml:space="preserve"> entities that had scorecards in 2010 kept them.</w:t>
            </w:r>
          </w:p>
        </w:tc>
        <w:tc>
          <w:tcPr>
            <w:tcW w:w="4140" w:type="dxa"/>
          </w:tcPr>
          <w:p w:rsidR="00800000" w:rsidRPr="005F5C0E" w:rsidRDefault="00800000" w:rsidP="00800000">
            <w:pPr>
              <w:pStyle w:val="ListParagraph"/>
              <w:numPr>
                <w:ilvl w:val="0"/>
                <w:numId w:val="6"/>
              </w:numPr>
              <w:rPr>
                <w:rFonts w:ascii="Times New Roman" w:hAnsi="Times New Roman" w:cs="Times New Roman"/>
                <w:bCs/>
                <w:sz w:val="16"/>
                <w:szCs w:val="16"/>
              </w:rPr>
            </w:pPr>
            <w:r w:rsidRPr="005F5C0E">
              <w:rPr>
                <w:rFonts w:ascii="Times New Roman" w:hAnsi="Times New Roman" w:cs="Times New Roman"/>
                <w:b/>
                <w:bCs/>
                <w:sz w:val="16"/>
                <w:szCs w:val="16"/>
              </w:rPr>
              <w:t xml:space="preserve">Progress: </w:t>
            </w:r>
            <w:r w:rsidR="00D36DBD">
              <w:rPr>
                <w:rFonts w:ascii="Times New Roman" w:hAnsi="Times New Roman" w:cs="Times New Roman"/>
                <w:sz w:val="16"/>
                <w:szCs w:val="16"/>
              </w:rPr>
              <w:t>Five entities are considering implementing scorecards.</w:t>
            </w:r>
          </w:p>
          <w:p w:rsidR="00800000" w:rsidRPr="005F5C0E" w:rsidRDefault="00800000" w:rsidP="00D36DBD">
            <w:pPr>
              <w:pStyle w:val="ListParagraph"/>
              <w:numPr>
                <w:ilvl w:val="0"/>
                <w:numId w:val="6"/>
              </w:numPr>
              <w:rPr>
                <w:rFonts w:ascii="Times New Roman" w:hAnsi="Times New Roman" w:cs="Times New Roman"/>
                <w:bCs/>
                <w:sz w:val="16"/>
                <w:szCs w:val="16"/>
              </w:rPr>
            </w:pPr>
            <w:r w:rsidRPr="005F5C0E">
              <w:rPr>
                <w:rFonts w:ascii="Times New Roman" w:hAnsi="Times New Roman" w:cs="Times New Roman"/>
                <w:b/>
                <w:bCs/>
                <w:sz w:val="16"/>
                <w:szCs w:val="16"/>
              </w:rPr>
              <w:t xml:space="preserve">Challenges: </w:t>
            </w:r>
            <w:r w:rsidRPr="005F5C0E">
              <w:rPr>
                <w:rFonts w:ascii="Times New Roman" w:hAnsi="Times New Roman" w:cs="Times New Roman"/>
                <w:bCs/>
                <w:sz w:val="16"/>
                <w:szCs w:val="16"/>
              </w:rPr>
              <w:t>Fewer entities populate the scorecards with real-time data (</w:t>
            </w:r>
            <w:r w:rsidR="00D36DBD">
              <w:rPr>
                <w:rFonts w:ascii="Times New Roman" w:hAnsi="Times New Roman" w:cs="Times New Roman"/>
                <w:bCs/>
                <w:sz w:val="16"/>
                <w:szCs w:val="16"/>
              </w:rPr>
              <w:t>50% compared with 71% in 2009); e</w:t>
            </w:r>
            <w:r w:rsidRPr="005F5C0E">
              <w:rPr>
                <w:rFonts w:ascii="Times New Roman" w:hAnsi="Times New Roman" w:cs="Times New Roman"/>
                <w:bCs/>
                <w:sz w:val="16"/>
                <w:szCs w:val="16"/>
              </w:rPr>
              <w:t>ntities with scorecards are failing to tak</w:t>
            </w:r>
            <w:r>
              <w:rPr>
                <w:rFonts w:ascii="Times New Roman" w:hAnsi="Times New Roman" w:cs="Times New Roman"/>
                <w:bCs/>
                <w:sz w:val="16"/>
                <w:szCs w:val="16"/>
              </w:rPr>
              <w:t>e corrective actions in response</w:t>
            </w:r>
            <w:r w:rsidRPr="005F5C0E">
              <w:rPr>
                <w:rFonts w:ascii="Times New Roman" w:hAnsi="Times New Roman" w:cs="Times New Roman"/>
                <w:bCs/>
                <w:sz w:val="16"/>
                <w:szCs w:val="16"/>
              </w:rPr>
              <w:t xml:space="preserve"> </w:t>
            </w:r>
            <w:r>
              <w:rPr>
                <w:rFonts w:ascii="Times New Roman" w:hAnsi="Times New Roman" w:cs="Times New Roman"/>
                <w:bCs/>
                <w:sz w:val="16"/>
                <w:szCs w:val="16"/>
              </w:rPr>
              <w:t>to</w:t>
            </w:r>
            <w:r w:rsidR="00D36DBD">
              <w:rPr>
                <w:rFonts w:ascii="Times New Roman" w:hAnsi="Times New Roman" w:cs="Times New Roman"/>
                <w:bCs/>
                <w:sz w:val="16"/>
                <w:szCs w:val="16"/>
              </w:rPr>
              <w:t xml:space="preserve"> low numbers of female staff, s</w:t>
            </w:r>
            <w:r w:rsidRPr="005F5C0E">
              <w:rPr>
                <w:rFonts w:ascii="Times New Roman" w:hAnsi="Times New Roman" w:cs="Times New Roman"/>
                <w:bCs/>
                <w:sz w:val="16"/>
                <w:szCs w:val="16"/>
              </w:rPr>
              <w:t xml:space="preserve">uggesting that there is insufficient accountability </w:t>
            </w:r>
            <w:r>
              <w:rPr>
                <w:rFonts w:ascii="Times New Roman" w:hAnsi="Times New Roman" w:cs="Times New Roman"/>
                <w:bCs/>
                <w:sz w:val="16"/>
                <w:szCs w:val="16"/>
              </w:rPr>
              <w:t>for responding to poor outcomes</w:t>
            </w:r>
            <w:r w:rsidR="00D36DBD">
              <w:rPr>
                <w:rFonts w:ascii="Times New Roman" w:hAnsi="Times New Roman" w:cs="Times New Roman"/>
                <w:bCs/>
                <w:sz w:val="16"/>
                <w:szCs w:val="16"/>
              </w:rPr>
              <w:t>.</w:t>
            </w:r>
          </w:p>
        </w:tc>
      </w:tr>
      <w:tr w:rsidR="00800000" w:rsidRPr="005F5C0E" w:rsidTr="003E5891">
        <w:trPr>
          <w:trHeight w:val="980"/>
        </w:trPr>
        <w:tc>
          <w:tcPr>
            <w:tcW w:w="900" w:type="dxa"/>
            <w:noWrap/>
            <w:hideMark/>
          </w:tcPr>
          <w:p w:rsidR="00800000" w:rsidRPr="005F5C0E" w:rsidRDefault="00800000" w:rsidP="003E5891">
            <w:pPr>
              <w:rPr>
                <w:rFonts w:ascii="Times New Roman" w:hAnsi="Times New Roman" w:cs="Times New Roman"/>
                <w:b/>
                <w:sz w:val="16"/>
                <w:szCs w:val="16"/>
              </w:rPr>
            </w:pPr>
            <w:r w:rsidRPr="005F5C0E">
              <w:rPr>
                <w:rFonts w:ascii="Times New Roman" w:hAnsi="Times New Roman" w:cs="Times New Roman"/>
                <w:b/>
                <w:sz w:val="16"/>
                <w:szCs w:val="16"/>
              </w:rPr>
              <w:t>Exit Interviews</w:t>
            </w:r>
          </w:p>
        </w:tc>
        <w:tc>
          <w:tcPr>
            <w:tcW w:w="99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31</w:t>
            </w:r>
          </w:p>
        </w:tc>
        <w:tc>
          <w:tcPr>
            <w:tcW w:w="90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23</w:t>
            </w:r>
          </w:p>
        </w:tc>
        <w:tc>
          <w:tcPr>
            <w:tcW w:w="810" w:type="dxa"/>
            <w:noWrap/>
            <w:hideMark/>
          </w:tcPr>
          <w:p w:rsidR="00800000" w:rsidRPr="005F5C0E" w:rsidRDefault="00800000" w:rsidP="003E5891">
            <w:pPr>
              <w:rPr>
                <w:rFonts w:ascii="Times New Roman" w:hAnsi="Times New Roman" w:cs="Times New Roman"/>
                <w:sz w:val="16"/>
                <w:szCs w:val="16"/>
              </w:rPr>
            </w:pPr>
            <w:r w:rsidRPr="005F5C0E">
              <w:rPr>
                <w:rFonts w:ascii="Times New Roman" w:hAnsi="Times New Roman" w:cs="Times New Roman"/>
                <w:sz w:val="16"/>
                <w:szCs w:val="16"/>
              </w:rPr>
              <w:t>22/29</w:t>
            </w:r>
          </w:p>
        </w:tc>
        <w:tc>
          <w:tcPr>
            <w:tcW w:w="810" w:type="dxa"/>
            <w:noWrap/>
            <w:hideMark/>
          </w:tcPr>
          <w:p w:rsidR="00800000" w:rsidRPr="005F5C0E" w:rsidRDefault="00A51A73" w:rsidP="003E5891">
            <w:pPr>
              <w:rPr>
                <w:rFonts w:ascii="Times New Roman" w:hAnsi="Times New Roman" w:cs="Times New Roman"/>
                <w:sz w:val="16"/>
                <w:szCs w:val="16"/>
              </w:rPr>
            </w:pPr>
            <w:r>
              <w:rPr>
                <w:rFonts w:ascii="Times New Roman" w:hAnsi="Times New Roman" w:cs="Times New Roman"/>
                <w:sz w:val="16"/>
                <w:szCs w:val="16"/>
              </w:rPr>
              <w:t>11/30</w:t>
            </w:r>
          </w:p>
        </w:tc>
        <w:tc>
          <w:tcPr>
            <w:tcW w:w="1800" w:type="dxa"/>
            <w:noWrap/>
            <w:hideMark/>
          </w:tcPr>
          <w:p w:rsidR="00800000" w:rsidRPr="005F5C0E" w:rsidRDefault="00A51A73" w:rsidP="003E5891">
            <w:pPr>
              <w:rPr>
                <w:rFonts w:ascii="Times New Roman" w:hAnsi="Times New Roman" w:cs="Times New Roman"/>
                <w:sz w:val="16"/>
                <w:szCs w:val="16"/>
              </w:rPr>
            </w:pPr>
            <w:r>
              <w:rPr>
                <w:rFonts w:ascii="Times New Roman" w:hAnsi="Times New Roman" w:cs="Times New Roman"/>
                <w:sz w:val="16"/>
                <w:szCs w:val="16"/>
              </w:rPr>
              <w:t>Increase of 1 since 2009</w:t>
            </w:r>
          </w:p>
        </w:tc>
        <w:tc>
          <w:tcPr>
            <w:tcW w:w="4770" w:type="dxa"/>
          </w:tcPr>
          <w:p w:rsidR="00800000" w:rsidRPr="005F5C0E" w:rsidRDefault="008A01BB" w:rsidP="00800000">
            <w:pPr>
              <w:pStyle w:val="ListParagraph"/>
              <w:numPr>
                <w:ilvl w:val="0"/>
                <w:numId w:val="7"/>
              </w:numPr>
              <w:rPr>
                <w:rFonts w:ascii="Times New Roman" w:hAnsi="Times New Roman" w:cs="Times New Roman"/>
                <w:sz w:val="16"/>
                <w:szCs w:val="16"/>
              </w:rPr>
            </w:pPr>
            <w:r>
              <w:rPr>
                <w:rFonts w:ascii="Times New Roman" w:hAnsi="Times New Roman" w:cs="Times New Roman"/>
                <w:sz w:val="16"/>
                <w:szCs w:val="16"/>
              </w:rPr>
              <w:t>Mandatory e</w:t>
            </w:r>
            <w:r w:rsidR="00800000" w:rsidRPr="005F5C0E">
              <w:rPr>
                <w:rFonts w:ascii="Times New Roman" w:hAnsi="Times New Roman" w:cs="Times New Roman"/>
                <w:sz w:val="16"/>
                <w:szCs w:val="16"/>
              </w:rPr>
              <w:t xml:space="preserve">xit interview </w:t>
            </w:r>
            <w:proofErr w:type="gramStart"/>
            <w:r>
              <w:rPr>
                <w:rFonts w:ascii="Times New Roman" w:hAnsi="Times New Roman" w:cs="Times New Roman"/>
                <w:sz w:val="16"/>
                <w:szCs w:val="16"/>
              </w:rPr>
              <w:t>process</w:t>
            </w:r>
            <w:r w:rsidR="00800000">
              <w:rPr>
                <w:rFonts w:ascii="Times New Roman" w:hAnsi="Times New Roman" w:cs="Times New Roman"/>
                <w:sz w:val="16"/>
                <w:szCs w:val="16"/>
              </w:rPr>
              <w:t xml:space="preserve"> :</w:t>
            </w:r>
            <w:proofErr w:type="gramEnd"/>
            <w:r w:rsidR="00800000">
              <w:rPr>
                <w:rFonts w:ascii="Times New Roman" w:hAnsi="Times New Roman" w:cs="Times New Roman"/>
                <w:sz w:val="16"/>
                <w:szCs w:val="16"/>
              </w:rPr>
              <w:t xml:space="preserve"> 11 entities</w:t>
            </w:r>
            <w:r>
              <w:rPr>
                <w:rFonts w:ascii="Times New Roman" w:hAnsi="Times New Roman" w:cs="Times New Roman"/>
                <w:sz w:val="16"/>
                <w:szCs w:val="16"/>
              </w:rPr>
              <w:t>.</w:t>
            </w:r>
          </w:p>
          <w:p w:rsidR="008A01BB" w:rsidRDefault="00800000" w:rsidP="00800000">
            <w:pPr>
              <w:pStyle w:val="ListParagraph"/>
              <w:numPr>
                <w:ilvl w:val="0"/>
                <w:numId w:val="7"/>
              </w:numPr>
              <w:rPr>
                <w:rFonts w:ascii="Times New Roman" w:hAnsi="Times New Roman" w:cs="Times New Roman"/>
                <w:sz w:val="16"/>
                <w:szCs w:val="16"/>
              </w:rPr>
            </w:pPr>
            <w:r>
              <w:rPr>
                <w:rFonts w:ascii="Times New Roman" w:hAnsi="Times New Roman" w:cs="Times New Roman"/>
                <w:sz w:val="16"/>
                <w:szCs w:val="16"/>
              </w:rPr>
              <w:t>C</w:t>
            </w:r>
            <w:r w:rsidR="008A01BB">
              <w:rPr>
                <w:rFonts w:ascii="Times New Roman" w:hAnsi="Times New Roman" w:cs="Times New Roman"/>
                <w:sz w:val="16"/>
                <w:szCs w:val="16"/>
              </w:rPr>
              <w:t>onduct</w:t>
            </w:r>
            <w:r w:rsidRPr="005F5C0E">
              <w:rPr>
                <w:rFonts w:ascii="Times New Roman" w:hAnsi="Times New Roman" w:cs="Times New Roman"/>
                <w:sz w:val="16"/>
                <w:szCs w:val="16"/>
              </w:rPr>
              <w:t xml:space="preserve"> the interview electronically</w:t>
            </w:r>
            <w:r>
              <w:rPr>
                <w:rFonts w:ascii="Times New Roman" w:hAnsi="Times New Roman" w:cs="Times New Roman"/>
                <w:sz w:val="16"/>
                <w:szCs w:val="16"/>
              </w:rPr>
              <w:t>: 13 entities</w:t>
            </w:r>
            <w:r w:rsidR="008A01BB">
              <w:rPr>
                <w:rFonts w:ascii="Times New Roman" w:hAnsi="Times New Roman" w:cs="Times New Roman"/>
                <w:sz w:val="16"/>
                <w:szCs w:val="16"/>
              </w:rPr>
              <w:t>.</w:t>
            </w:r>
          </w:p>
          <w:p w:rsidR="008A01BB" w:rsidRDefault="008A01BB" w:rsidP="00800000">
            <w:pPr>
              <w:pStyle w:val="ListParagraph"/>
              <w:numPr>
                <w:ilvl w:val="0"/>
                <w:numId w:val="7"/>
              </w:numPr>
              <w:rPr>
                <w:rFonts w:ascii="Times New Roman" w:hAnsi="Times New Roman" w:cs="Times New Roman"/>
                <w:sz w:val="16"/>
                <w:szCs w:val="16"/>
              </w:rPr>
            </w:pPr>
            <w:r>
              <w:rPr>
                <w:rFonts w:ascii="Times New Roman" w:hAnsi="Times New Roman" w:cs="Times New Roman"/>
                <w:sz w:val="16"/>
                <w:szCs w:val="16"/>
              </w:rPr>
              <w:t>Conduct</w:t>
            </w:r>
            <w:r w:rsidR="00800000">
              <w:rPr>
                <w:rFonts w:ascii="Times New Roman" w:hAnsi="Times New Roman" w:cs="Times New Roman"/>
                <w:sz w:val="16"/>
                <w:szCs w:val="16"/>
              </w:rPr>
              <w:t xml:space="preserve"> </w:t>
            </w:r>
            <w:r w:rsidR="00800000" w:rsidRPr="005F5C0E">
              <w:rPr>
                <w:rFonts w:ascii="Times New Roman" w:hAnsi="Times New Roman" w:cs="Times New Roman"/>
                <w:sz w:val="16"/>
                <w:szCs w:val="16"/>
              </w:rPr>
              <w:t>the interview both electronically and in-person</w:t>
            </w:r>
            <w:r w:rsidR="00800000">
              <w:rPr>
                <w:rFonts w:ascii="Times New Roman" w:hAnsi="Times New Roman" w:cs="Times New Roman"/>
                <w:sz w:val="16"/>
                <w:szCs w:val="16"/>
              </w:rPr>
              <w:t>: 3 entities</w:t>
            </w:r>
            <w:r>
              <w:rPr>
                <w:rFonts w:ascii="Times New Roman" w:hAnsi="Times New Roman" w:cs="Times New Roman"/>
                <w:sz w:val="16"/>
                <w:szCs w:val="16"/>
              </w:rPr>
              <w:t>.</w:t>
            </w:r>
          </w:p>
          <w:p w:rsidR="00800000" w:rsidRDefault="008A01BB" w:rsidP="00800000">
            <w:pPr>
              <w:pStyle w:val="ListParagraph"/>
              <w:numPr>
                <w:ilvl w:val="0"/>
                <w:numId w:val="7"/>
              </w:numPr>
              <w:rPr>
                <w:rFonts w:ascii="Times New Roman" w:hAnsi="Times New Roman" w:cs="Times New Roman"/>
                <w:sz w:val="16"/>
                <w:szCs w:val="16"/>
              </w:rPr>
            </w:pPr>
            <w:r>
              <w:rPr>
                <w:rFonts w:ascii="Times New Roman" w:hAnsi="Times New Roman" w:cs="Times New Roman"/>
                <w:sz w:val="16"/>
                <w:szCs w:val="16"/>
              </w:rPr>
              <w:t>Conduct</w:t>
            </w:r>
            <w:r w:rsidR="00800000">
              <w:rPr>
                <w:rFonts w:ascii="Times New Roman" w:hAnsi="Times New Roman" w:cs="Times New Roman"/>
                <w:sz w:val="16"/>
                <w:szCs w:val="16"/>
              </w:rPr>
              <w:t xml:space="preserve"> </w:t>
            </w:r>
            <w:r w:rsidR="00800000" w:rsidRPr="005F5C0E">
              <w:rPr>
                <w:rFonts w:ascii="Times New Roman" w:hAnsi="Times New Roman" w:cs="Times New Roman"/>
                <w:sz w:val="16"/>
                <w:szCs w:val="16"/>
              </w:rPr>
              <w:t>only in-person interviews</w:t>
            </w:r>
            <w:r w:rsidR="00800000">
              <w:rPr>
                <w:rFonts w:ascii="Times New Roman" w:hAnsi="Times New Roman" w:cs="Times New Roman"/>
                <w:sz w:val="16"/>
                <w:szCs w:val="16"/>
              </w:rPr>
              <w:t>: 7 entities</w:t>
            </w:r>
            <w:r w:rsidR="00800000" w:rsidRPr="005F5C0E">
              <w:rPr>
                <w:rFonts w:ascii="Times New Roman" w:hAnsi="Times New Roman" w:cs="Times New Roman"/>
                <w:sz w:val="16"/>
                <w:szCs w:val="16"/>
              </w:rPr>
              <w:t>.</w:t>
            </w:r>
          </w:p>
          <w:p w:rsidR="008A01BB" w:rsidRDefault="008A01BB" w:rsidP="00800000">
            <w:pPr>
              <w:pStyle w:val="ListParagraph"/>
              <w:numPr>
                <w:ilvl w:val="0"/>
                <w:numId w:val="7"/>
              </w:numPr>
              <w:rPr>
                <w:rFonts w:ascii="Times New Roman" w:hAnsi="Times New Roman" w:cs="Times New Roman"/>
                <w:sz w:val="16"/>
                <w:szCs w:val="16"/>
              </w:rPr>
            </w:pPr>
            <w:r>
              <w:rPr>
                <w:rFonts w:ascii="Times New Roman" w:hAnsi="Times New Roman" w:cs="Times New Roman"/>
                <w:sz w:val="16"/>
                <w:szCs w:val="16"/>
              </w:rPr>
              <w:t>Five entities discontinued the practice of exit interviews and five initiated exit interviews.</w:t>
            </w:r>
          </w:p>
          <w:p w:rsidR="008A01BB" w:rsidRPr="008A01BB" w:rsidRDefault="008A01BB" w:rsidP="008A01BB">
            <w:pPr>
              <w:pStyle w:val="ListParagraph"/>
              <w:numPr>
                <w:ilvl w:val="0"/>
                <w:numId w:val="7"/>
              </w:numPr>
              <w:rPr>
                <w:rFonts w:ascii="Times New Roman" w:hAnsi="Times New Roman" w:cs="Times New Roman"/>
                <w:sz w:val="16"/>
                <w:szCs w:val="16"/>
              </w:rPr>
            </w:pPr>
            <w:r>
              <w:rPr>
                <w:rFonts w:ascii="Times New Roman" w:hAnsi="Times New Roman" w:cs="Times New Roman"/>
                <w:sz w:val="16"/>
                <w:szCs w:val="16"/>
              </w:rPr>
              <w:t>Review exit interview data annually: 8 entities.</w:t>
            </w:r>
          </w:p>
        </w:tc>
        <w:tc>
          <w:tcPr>
            <w:tcW w:w="4140" w:type="dxa"/>
          </w:tcPr>
          <w:p w:rsidR="00800000" w:rsidRPr="005F5C0E" w:rsidRDefault="00800000" w:rsidP="00800000">
            <w:pPr>
              <w:pStyle w:val="ListParagraph"/>
              <w:numPr>
                <w:ilvl w:val="0"/>
                <w:numId w:val="7"/>
              </w:numPr>
              <w:rPr>
                <w:rFonts w:ascii="Times New Roman" w:hAnsi="Times New Roman" w:cs="Times New Roman"/>
                <w:bCs/>
                <w:sz w:val="16"/>
                <w:szCs w:val="16"/>
              </w:rPr>
            </w:pPr>
            <w:r w:rsidRPr="005F5C0E">
              <w:rPr>
                <w:rFonts w:ascii="Times New Roman" w:hAnsi="Times New Roman" w:cs="Times New Roman"/>
                <w:b/>
                <w:bCs/>
                <w:sz w:val="16"/>
                <w:szCs w:val="16"/>
              </w:rPr>
              <w:t xml:space="preserve">Progress: </w:t>
            </w:r>
            <w:r w:rsidRPr="005F5C0E">
              <w:rPr>
                <w:rFonts w:ascii="Times New Roman" w:hAnsi="Times New Roman" w:cs="Times New Roman"/>
                <w:bCs/>
                <w:sz w:val="16"/>
                <w:szCs w:val="16"/>
              </w:rPr>
              <w:t>CEB designed and distributed a new standardized exit interview questionnaire</w:t>
            </w:r>
            <w:r w:rsidR="008A01BB">
              <w:rPr>
                <w:rFonts w:ascii="Times New Roman" w:hAnsi="Times New Roman" w:cs="Times New Roman"/>
                <w:bCs/>
                <w:sz w:val="16"/>
                <w:szCs w:val="16"/>
              </w:rPr>
              <w:t>.</w:t>
            </w:r>
          </w:p>
          <w:p w:rsidR="00800000" w:rsidRPr="005F5C0E" w:rsidRDefault="00800000" w:rsidP="008A01BB">
            <w:pPr>
              <w:pStyle w:val="ListParagraph"/>
              <w:numPr>
                <w:ilvl w:val="0"/>
                <w:numId w:val="7"/>
              </w:numPr>
              <w:rPr>
                <w:rFonts w:ascii="Times New Roman" w:hAnsi="Times New Roman" w:cs="Times New Roman"/>
                <w:bCs/>
                <w:sz w:val="16"/>
                <w:szCs w:val="16"/>
              </w:rPr>
            </w:pPr>
            <w:r w:rsidRPr="005F5C0E">
              <w:rPr>
                <w:rFonts w:ascii="Times New Roman" w:hAnsi="Times New Roman" w:cs="Times New Roman"/>
                <w:b/>
                <w:bCs/>
                <w:sz w:val="16"/>
                <w:szCs w:val="16"/>
              </w:rPr>
              <w:t xml:space="preserve">Challenges: </w:t>
            </w:r>
            <w:r w:rsidR="008A01BB">
              <w:rPr>
                <w:rFonts w:ascii="Times New Roman" w:hAnsi="Times New Roman" w:cs="Times New Roman"/>
                <w:bCs/>
                <w:sz w:val="16"/>
                <w:szCs w:val="16"/>
              </w:rPr>
              <w:t>Five entities abandoned</w:t>
            </w:r>
            <w:r w:rsidRPr="005F5C0E">
              <w:rPr>
                <w:rFonts w:ascii="Times New Roman" w:hAnsi="Times New Roman" w:cs="Times New Roman"/>
                <w:bCs/>
                <w:sz w:val="16"/>
                <w:szCs w:val="16"/>
              </w:rPr>
              <w:t xml:space="preserve"> the practice o</w:t>
            </w:r>
            <w:r>
              <w:rPr>
                <w:rFonts w:ascii="Times New Roman" w:hAnsi="Times New Roman" w:cs="Times New Roman"/>
                <w:bCs/>
                <w:sz w:val="16"/>
                <w:szCs w:val="16"/>
              </w:rPr>
              <w:t>f exit interview questionnaires</w:t>
            </w:r>
            <w:r w:rsidR="008A01BB">
              <w:rPr>
                <w:rFonts w:ascii="Times New Roman" w:hAnsi="Times New Roman" w:cs="Times New Roman"/>
                <w:bCs/>
                <w:sz w:val="16"/>
                <w:szCs w:val="16"/>
              </w:rPr>
              <w:t>; only 5 entities evidenced use of the CEB form.</w:t>
            </w:r>
          </w:p>
        </w:tc>
      </w:tr>
    </w:tbl>
    <w:p w:rsidR="00800000" w:rsidRDefault="00800000"/>
    <w:sectPr w:rsidR="00800000" w:rsidSect="00800000">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11" w:rsidRDefault="00181811" w:rsidP="00A43111">
      <w:pPr>
        <w:spacing w:after="0" w:line="240" w:lineRule="auto"/>
      </w:pPr>
      <w:r>
        <w:separator/>
      </w:r>
    </w:p>
  </w:endnote>
  <w:endnote w:type="continuationSeparator" w:id="0">
    <w:p w:rsidR="00181811" w:rsidRDefault="00181811" w:rsidP="00A4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11" w:rsidRDefault="00181811" w:rsidP="00A43111">
      <w:pPr>
        <w:spacing w:after="0" w:line="240" w:lineRule="auto"/>
      </w:pPr>
      <w:r>
        <w:separator/>
      </w:r>
    </w:p>
  </w:footnote>
  <w:footnote w:type="continuationSeparator" w:id="0">
    <w:p w:rsidR="00181811" w:rsidRDefault="00181811" w:rsidP="00A43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11" w:rsidRPr="00A43111" w:rsidRDefault="00B4508C" w:rsidP="00A43111">
    <w:pPr>
      <w:pStyle w:val="Header"/>
      <w:rPr>
        <w:rFonts w:ascii="Times New Roman" w:hAnsi="Times New Roman" w:cs="Times New Roman"/>
        <w:sz w:val="24"/>
        <w:szCs w:val="24"/>
      </w:rPr>
    </w:pPr>
    <w:r>
      <w:rPr>
        <w:rFonts w:ascii="Times New Roman" w:hAnsi="Times New Roman" w:cs="Times New Roman"/>
        <w:b/>
        <w:bCs/>
        <w:sz w:val="24"/>
        <w:szCs w:val="24"/>
      </w:rPr>
      <w:t>Web Annex XV</w:t>
    </w:r>
  </w:p>
  <w:p w:rsidR="00A43111" w:rsidRDefault="00A43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CCF"/>
    <w:multiLevelType w:val="hybridMultilevel"/>
    <w:tmpl w:val="398872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C4876CC"/>
    <w:multiLevelType w:val="hybridMultilevel"/>
    <w:tmpl w:val="98F8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5F5B52"/>
    <w:multiLevelType w:val="hybridMultilevel"/>
    <w:tmpl w:val="3C9E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C2117"/>
    <w:multiLevelType w:val="hybridMultilevel"/>
    <w:tmpl w:val="841C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832CA"/>
    <w:multiLevelType w:val="hybridMultilevel"/>
    <w:tmpl w:val="0CE0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E4D0D"/>
    <w:multiLevelType w:val="hybridMultilevel"/>
    <w:tmpl w:val="FE2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1A4A79"/>
    <w:multiLevelType w:val="hybridMultilevel"/>
    <w:tmpl w:val="F6B2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00"/>
    <w:rsid w:val="00112EB5"/>
    <w:rsid w:val="00181811"/>
    <w:rsid w:val="001906AA"/>
    <w:rsid w:val="003B470B"/>
    <w:rsid w:val="004A43E3"/>
    <w:rsid w:val="00520566"/>
    <w:rsid w:val="0055094C"/>
    <w:rsid w:val="00627DEB"/>
    <w:rsid w:val="00662687"/>
    <w:rsid w:val="00704AD6"/>
    <w:rsid w:val="00800000"/>
    <w:rsid w:val="008A01BB"/>
    <w:rsid w:val="009D6FA6"/>
    <w:rsid w:val="009E686A"/>
    <w:rsid w:val="00A22E14"/>
    <w:rsid w:val="00A43111"/>
    <w:rsid w:val="00A51A73"/>
    <w:rsid w:val="00AC42CA"/>
    <w:rsid w:val="00AD279D"/>
    <w:rsid w:val="00B4508C"/>
    <w:rsid w:val="00C86C46"/>
    <w:rsid w:val="00D36DBD"/>
    <w:rsid w:val="00E835FB"/>
    <w:rsid w:val="00EC41F9"/>
    <w:rsid w:val="00FC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0000"/>
    <w:pPr>
      <w:ind w:left="720"/>
      <w:contextualSpacing/>
    </w:pPr>
  </w:style>
  <w:style w:type="paragraph" w:styleId="Header">
    <w:name w:val="header"/>
    <w:basedOn w:val="Normal"/>
    <w:link w:val="HeaderChar"/>
    <w:uiPriority w:val="99"/>
    <w:unhideWhenUsed/>
    <w:rsid w:val="00A4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11"/>
  </w:style>
  <w:style w:type="paragraph" w:styleId="Footer">
    <w:name w:val="footer"/>
    <w:basedOn w:val="Normal"/>
    <w:link w:val="FooterChar"/>
    <w:uiPriority w:val="99"/>
    <w:unhideWhenUsed/>
    <w:rsid w:val="00A4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11"/>
  </w:style>
  <w:style w:type="paragraph" w:styleId="BalloonText">
    <w:name w:val="Balloon Text"/>
    <w:basedOn w:val="Normal"/>
    <w:link w:val="BalloonTextChar"/>
    <w:uiPriority w:val="99"/>
    <w:semiHidden/>
    <w:unhideWhenUsed/>
    <w:rsid w:val="0052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0000"/>
    <w:pPr>
      <w:ind w:left="720"/>
      <w:contextualSpacing/>
    </w:pPr>
  </w:style>
  <w:style w:type="paragraph" w:styleId="Header">
    <w:name w:val="header"/>
    <w:basedOn w:val="Normal"/>
    <w:link w:val="HeaderChar"/>
    <w:uiPriority w:val="99"/>
    <w:unhideWhenUsed/>
    <w:rsid w:val="00A4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11"/>
  </w:style>
  <w:style w:type="paragraph" w:styleId="Footer">
    <w:name w:val="footer"/>
    <w:basedOn w:val="Normal"/>
    <w:link w:val="FooterChar"/>
    <w:uiPriority w:val="99"/>
    <w:unhideWhenUsed/>
    <w:rsid w:val="00A4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11"/>
  </w:style>
  <w:style w:type="paragraph" w:styleId="BalloonText">
    <w:name w:val="Balloon Text"/>
    <w:basedOn w:val="Normal"/>
    <w:link w:val="BalloonTextChar"/>
    <w:uiPriority w:val="99"/>
    <w:semiHidden/>
    <w:unhideWhenUsed/>
    <w:rsid w:val="0052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Wong</dc:creator>
  <cp:lastModifiedBy>Marilyn Dawson</cp:lastModifiedBy>
  <cp:revision>2</cp:revision>
  <cp:lastPrinted>2012-09-09T21:37:00Z</cp:lastPrinted>
  <dcterms:created xsi:type="dcterms:W3CDTF">2012-10-12T21:53:00Z</dcterms:created>
  <dcterms:modified xsi:type="dcterms:W3CDTF">2012-10-12T21:53:00Z</dcterms:modified>
</cp:coreProperties>
</file>