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0B" w:rsidRPr="003E730B" w:rsidRDefault="003E730B" w:rsidP="003E730B">
      <w:pPr>
        <w:spacing w:after="120" w:line="240" w:lineRule="exact"/>
        <w:ind w:left="1267" w:right="1267"/>
        <w:jc w:val="both"/>
        <w:rPr>
          <w:rFonts w:ascii="Times New Roman" w:hAnsi="Times New Roman" w:cs="Times New Roman"/>
          <w:b/>
          <w:sz w:val="24"/>
          <w:szCs w:val="24"/>
        </w:rPr>
      </w:pPr>
      <w:bookmarkStart w:id="0" w:name="_GoBack"/>
      <w:bookmarkEnd w:id="0"/>
      <w:r w:rsidRPr="003E730B">
        <w:rPr>
          <w:rFonts w:ascii="Times New Roman" w:hAnsi="Times New Roman" w:cs="Times New Roman"/>
          <w:b/>
          <w:sz w:val="24"/>
          <w:szCs w:val="24"/>
        </w:rPr>
        <w:t>Staff in the Departments of Peacekeeping Operations and Field Support (DPKO/FS)</w:t>
      </w:r>
    </w:p>
    <w:p w:rsidR="000D477E" w:rsidRDefault="000D477E" w:rsidP="00482305">
      <w:pPr>
        <w:spacing w:after="120" w:line="240" w:lineRule="exact"/>
        <w:ind w:left="1267" w:right="1267"/>
        <w:jc w:val="both"/>
        <w:rPr>
          <w:rFonts w:ascii="Times New Roman" w:hAnsi="Times New Roman" w:cs="Times New Roman"/>
          <w:sz w:val="20"/>
          <w:szCs w:val="20"/>
        </w:rPr>
      </w:pPr>
      <w:r w:rsidRPr="000D477E">
        <w:rPr>
          <w:rFonts w:ascii="Times New Roman" w:hAnsi="Times New Roman" w:cs="Times New Roman"/>
          <w:sz w:val="20"/>
          <w:szCs w:val="20"/>
        </w:rPr>
        <w:t>On 31 December 2011, DPKO and DFS comprised 3,272</w:t>
      </w:r>
      <w:r w:rsidR="00676858">
        <w:rPr>
          <w:rFonts w:ascii="Times New Roman" w:hAnsi="Times New Roman" w:cs="Times New Roman"/>
          <w:sz w:val="20"/>
          <w:szCs w:val="20"/>
        </w:rPr>
        <w:t xml:space="preserve"> </w:t>
      </w:r>
      <w:r w:rsidR="008C689B">
        <w:rPr>
          <w:rFonts w:ascii="Times New Roman" w:hAnsi="Times New Roman" w:cs="Times New Roman"/>
          <w:sz w:val="20"/>
          <w:szCs w:val="20"/>
        </w:rPr>
        <w:t>staff (P-1 to USG) on contracts of one</w:t>
      </w:r>
      <w:r w:rsidRPr="000D477E">
        <w:rPr>
          <w:rFonts w:ascii="Times New Roman" w:hAnsi="Times New Roman" w:cs="Times New Roman"/>
          <w:sz w:val="20"/>
          <w:szCs w:val="20"/>
        </w:rPr>
        <w:t xml:space="preserve"> year or more</w:t>
      </w:r>
      <w:r w:rsidR="00482305">
        <w:rPr>
          <w:rFonts w:ascii="Times New Roman" w:hAnsi="Times New Roman" w:cs="Times New Roman"/>
          <w:sz w:val="20"/>
          <w:szCs w:val="20"/>
        </w:rPr>
        <w:t xml:space="preserve"> at headquarters and non-headquarters locations</w:t>
      </w:r>
      <w:r w:rsidRPr="000D477E">
        <w:rPr>
          <w:rFonts w:ascii="Times New Roman" w:hAnsi="Times New Roman" w:cs="Times New Roman"/>
          <w:sz w:val="20"/>
          <w:szCs w:val="20"/>
        </w:rPr>
        <w:t>.  Women constituted 30 per cent of all posts, marking a decrease from 31.8 per cent in 2009</w:t>
      </w:r>
      <w:r w:rsidR="00825D4C" w:rsidRPr="00825D4C">
        <w:rPr>
          <w:rFonts w:ascii="Times New Roman" w:hAnsi="Times New Roman" w:cs="Times New Roman"/>
          <w:sz w:val="20"/>
          <w:szCs w:val="20"/>
        </w:rPr>
        <w:t xml:space="preserve"> and a significantly smaller proportion</w:t>
      </w:r>
      <w:r w:rsidR="004178FA">
        <w:rPr>
          <w:rFonts w:ascii="Times New Roman" w:hAnsi="Times New Roman" w:cs="Times New Roman"/>
          <w:sz w:val="20"/>
          <w:szCs w:val="20"/>
        </w:rPr>
        <w:t xml:space="preserve"> than the Secretariat</w:t>
      </w:r>
      <w:r w:rsidR="00825D4C" w:rsidRPr="00825D4C">
        <w:rPr>
          <w:rFonts w:ascii="Times New Roman" w:hAnsi="Times New Roman" w:cs="Times New Roman"/>
          <w:sz w:val="20"/>
          <w:szCs w:val="20"/>
        </w:rPr>
        <w:t xml:space="preserve"> (38.7 per cent)</w:t>
      </w:r>
      <w:r w:rsidR="004178FA">
        <w:rPr>
          <w:rFonts w:ascii="Times New Roman" w:hAnsi="Times New Roman" w:cs="Times New Roman"/>
          <w:sz w:val="20"/>
          <w:szCs w:val="20"/>
        </w:rPr>
        <w:t xml:space="preserve"> and the UN system </w:t>
      </w:r>
      <w:r w:rsidR="00D1435C">
        <w:rPr>
          <w:rFonts w:ascii="Times New Roman" w:hAnsi="Times New Roman" w:cs="Times New Roman"/>
          <w:sz w:val="20"/>
          <w:szCs w:val="20"/>
        </w:rPr>
        <w:t xml:space="preserve">as a whole </w:t>
      </w:r>
      <w:r w:rsidR="004178FA">
        <w:rPr>
          <w:rFonts w:ascii="Times New Roman" w:hAnsi="Times New Roman" w:cs="Times New Roman"/>
          <w:sz w:val="20"/>
          <w:szCs w:val="20"/>
        </w:rPr>
        <w:t>(40.7 per cent)</w:t>
      </w:r>
      <w:r w:rsidRPr="000D477E">
        <w:rPr>
          <w:rFonts w:ascii="Times New Roman" w:hAnsi="Times New Roman" w:cs="Times New Roman"/>
          <w:sz w:val="20"/>
          <w:szCs w:val="20"/>
        </w:rPr>
        <w:t>. Small declines were also seen in the field missions</w:t>
      </w:r>
      <w:r w:rsidR="00482305">
        <w:rPr>
          <w:rFonts w:ascii="Times New Roman" w:hAnsi="Times New Roman" w:cs="Times New Roman"/>
          <w:sz w:val="20"/>
          <w:szCs w:val="20"/>
        </w:rPr>
        <w:t xml:space="preserve"> (non-headquarters)</w:t>
      </w:r>
      <w:r w:rsidRPr="000D477E">
        <w:rPr>
          <w:rFonts w:ascii="Times New Roman" w:hAnsi="Times New Roman" w:cs="Times New Roman"/>
          <w:sz w:val="20"/>
          <w:szCs w:val="20"/>
        </w:rPr>
        <w:t xml:space="preserve"> where women constituted 29.3 per cent of posts in 2011, compared to 30.3 in 2009.</w:t>
      </w:r>
    </w:p>
    <w:p w:rsidR="003E730B" w:rsidRPr="003E730B" w:rsidRDefault="003E730B" w:rsidP="004C370E">
      <w:pPr>
        <w:spacing w:after="120" w:line="240" w:lineRule="exact"/>
        <w:ind w:left="547" w:right="1267" w:firstLine="720"/>
        <w:jc w:val="both"/>
        <w:rPr>
          <w:rFonts w:ascii="Times New Roman" w:hAnsi="Times New Roman" w:cs="Times New Roman"/>
          <w:b/>
          <w:sz w:val="20"/>
          <w:szCs w:val="20"/>
        </w:rPr>
      </w:pPr>
      <w:r w:rsidRPr="003E730B">
        <w:rPr>
          <w:rFonts w:ascii="Times New Roman" w:hAnsi="Times New Roman" w:cs="Times New Roman"/>
          <w:b/>
          <w:sz w:val="20"/>
          <w:szCs w:val="20"/>
        </w:rPr>
        <w:t xml:space="preserve">Representation of women </w:t>
      </w:r>
      <w:r w:rsidR="00E41502">
        <w:rPr>
          <w:rFonts w:ascii="Times New Roman" w:hAnsi="Times New Roman" w:cs="Times New Roman"/>
          <w:b/>
          <w:sz w:val="20"/>
          <w:szCs w:val="20"/>
        </w:rPr>
        <w:t>in DPKO/DFS led missions</w:t>
      </w:r>
      <w:r w:rsidR="00482305">
        <w:rPr>
          <w:rFonts w:ascii="Times New Roman" w:hAnsi="Times New Roman" w:cs="Times New Roman"/>
          <w:b/>
          <w:sz w:val="20"/>
          <w:szCs w:val="20"/>
        </w:rPr>
        <w:t xml:space="preserve"> (non-headquarters)</w:t>
      </w:r>
    </w:p>
    <w:p w:rsidR="004C370E" w:rsidRPr="00BF2790" w:rsidRDefault="004C370E" w:rsidP="004C370E">
      <w:pPr>
        <w:spacing w:after="120" w:line="240" w:lineRule="exact"/>
        <w:ind w:left="1267" w:right="1267"/>
        <w:jc w:val="both"/>
        <w:rPr>
          <w:rFonts w:ascii="Times New Roman" w:hAnsi="Times New Roman" w:cs="Times New Roman"/>
          <w:i/>
          <w:sz w:val="20"/>
          <w:szCs w:val="20"/>
        </w:rPr>
      </w:pPr>
      <w:r>
        <w:rPr>
          <w:rFonts w:ascii="Times New Roman" w:hAnsi="Times New Roman" w:cs="Times New Roman"/>
          <w:sz w:val="20"/>
          <w:szCs w:val="20"/>
        </w:rPr>
        <w:t>The overall proportion of wom</w:t>
      </w:r>
      <w:r w:rsidR="004178FA">
        <w:rPr>
          <w:rFonts w:ascii="Times New Roman" w:hAnsi="Times New Roman" w:cs="Times New Roman"/>
          <w:sz w:val="20"/>
          <w:szCs w:val="20"/>
        </w:rPr>
        <w:t>en in missions led by DPKO/DFS wa</w:t>
      </w:r>
      <w:r>
        <w:rPr>
          <w:rFonts w:ascii="Times New Roman" w:hAnsi="Times New Roman" w:cs="Times New Roman"/>
          <w:sz w:val="20"/>
          <w:szCs w:val="20"/>
        </w:rPr>
        <w:t>s 29.3 per cent</w:t>
      </w:r>
      <w:r w:rsidR="004178FA">
        <w:rPr>
          <w:rFonts w:ascii="Times New Roman" w:hAnsi="Times New Roman" w:cs="Times New Roman"/>
          <w:sz w:val="20"/>
          <w:szCs w:val="20"/>
        </w:rPr>
        <w:t xml:space="preserve"> in 2011</w:t>
      </w:r>
      <w:r w:rsidR="00DE3A50">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w:t>
      </w:r>
      <w:r w:rsidRPr="003F3672">
        <w:rPr>
          <w:rFonts w:ascii="Times New Roman" w:hAnsi="Times New Roman" w:cs="Times New Roman"/>
          <w:sz w:val="20"/>
          <w:szCs w:val="20"/>
        </w:rPr>
        <w:t>At the higher levels</w:t>
      </w:r>
      <w:r>
        <w:rPr>
          <w:rFonts w:ascii="Times New Roman" w:hAnsi="Times New Roman" w:cs="Times New Roman"/>
          <w:sz w:val="20"/>
          <w:szCs w:val="20"/>
        </w:rPr>
        <w:t xml:space="preserve"> of these missions</w:t>
      </w:r>
      <w:r w:rsidR="004178FA">
        <w:rPr>
          <w:rFonts w:ascii="Times New Roman" w:hAnsi="Times New Roman" w:cs="Times New Roman"/>
          <w:sz w:val="20"/>
          <w:szCs w:val="20"/>
        </w:rPr>
        <w:t xml:space="preserve"> (D-1 to USG)</w:t>
      </w:r>
      <w:r w:rsidRPr="003F3672">
        <w:rPr>
          <w:rFonts w:ascii="Times New Roman" w:hAnsi="Times New Roman" w:cs="Times New Roman"/>
          <w:sz w:val="20"/>
          <w:szCs w:val="20"/>
        </w:rPr>
        <w:t>, the proportion of women grew from 15.3 percent</w:t>
      </w:r>
      <w:r w:rsidR="00D1435C">
        <w:rPr>
          <w:rFonts w:ascii="Times New Roman" w:hAnsi="Times New Roman" w:cs="Times New Roman"/>
          <w:sz w:val="20"/>
          <w:szCs w:val="20"/>
        </w:rPr>
        <w:t xml:space="preserve"> in 2009</w:t>
      </w:r>
      <w:r w:rsidRPr="003F3672">
        <w:rPr>
          <w:rFonts w:ascii="Times New Roman" w:hAnsi="Times New Roman" w:cs="Times New Roman"/>
          <w:sz w:val="20"/>
          <w:szCs w:val="20"/>
        </w:rPr>
        <w:t xml:space="preserve"> to 17.5 percent, </w:t>
      </w:r>
      <w:r w:rsidR="004178FA">
        <w:rPr>
          <w:rFonts w:ascii="Times New Roman" w:hAnsi="Times New Roman" w:cs="Times New Roman"/>
          <w:sz w:val="20"/>
          <w:szCs w:val="20"/>
        </w:rPr>
        <w:t xml:space="preserve">but remained </w:t>
      </w:r>
      <w:r w:rsidRPr="003F3672">
        <w:rPr>
          <w:rFonts w:ascii="Times New Roman" w:hAnsi="Times New Roman" w:cs="Times New Roman"/>
          <w:sz w:val="20"/>
          <w:szCs w:val="20"/>
        </w:rPr>
        <w:t xml:space="preserve">well below the </w:t>
      </w:r>
      <w:r>
        <w:rPr>
          <w:rFonts w:ascii="Times New Roman" w:hAnsi="Times New Roman" w:cs="Times New Roman"/>
          <w:sz w:val="20"/>
          <w:szCs w:val="20"/>
        </w:rPr>
        <w:t xml:space="preserve">United Nations </w:t>
      </w:r>
      <w:r w:rsidRPr="003F3672">
        <w:rPr>
          <w:rFonts w:ascii="Times New Roman" w:hAnsi="Times New Roman" w:cs="Times New Roman"/>
          <w:sz w:val="20"/>
          <w:szCs w:val="20"/>
        </w:rPr>
        <w:t xml:space="preserve">system average for these levels (29.5 percent). </w:t>
      </w:r>
      <w:r w:rsidRPr="004C370E">
        <w:rPr>
          <w:rFonts w:ascii="Times New Roman" w:hAnsi="Times New Roman" w:cs="Times New Roman"/>
          <w:sz w:val="20"/>
          <w:szCs w:val="20"/>
        </w:rPr>
        <w:t>Significant progress was seen at the USG and D-1 levels,</w:t>
      </w:r>
      <w:r w:rsidR="00D1435C">
        <w:rPr>
          <w:rFonts w:ascii="Times New Roman" w:hAnsi="Times New Roman" w:cs="Times New Roman"/>
          <w:sz w:val="20"/>
          <w:szCs w:val="20"/>
        </w:rPr>
        <w:t xml:space="preserve"> however,</w:t>
      </w:r>
      <w:r w:rsidRPr="004C370E">
        <w:rPr>
          <w:rFonts w:ascii="Times New Roman" w:hAnsi="Times New Roman" w:cs="Times New Roman"/>
          <w:sz w:val="20"/>
          <w:szCs w:val="20"/>
        </w:rPr>
        <w:t xml:space="preserve"> where the proportion of women increased by 14.3 and 7.4 percent respectively (Figure </w:t>
      </w:r>
      <w:r w:rsidR="004178FA">
        <w:rPr>
          <w:rFonts w:ascii="Times New Roman" w:hAnsi="Times New Roman" w:cs="Times New Roman"/>
          <w:sz w:val="20"/>
          <w:szCs w:val="20"/>
        </w:rPr>
        <w:t>17.1</w:t>
      </w:r>
      <w:r w:rsidRPr="004C370E">
        <w:rPr>
          <w:rFonts w:ascii="Times New Roman" w:hAnsi="Times New Roman" w:cs="Times New Roman"/>
          <w:sz w:val="20"/>
          <w:szCs w:val="20"/>
        </w:rPr>
        <w:t>). However, this progress was undermined by decreases at the ASG and D-2 le</w:t>
      </w:r>
      <w:r w:rsidR="00C22B72">
        <w:rPr>
          <w:rFonts w:ascii="Times New Roman" w:hAnsi="Times New Roman" w:cs="Times New Roman"/>
          <w:sz w:val="20"/>
          <w:szCs w:val="20"/>
        </w:rPr>
        <w:t>vels, where there are now only eight</w:t>
      </w:r>
      <w:r w:rsidRPr="004C370E">
        <w:rPr>
          <w:rFonts w:ascii="Times New Roman" w:hAnsi="Times New Roman" w:cs="Times New Roman"/>
          <w:sz w:val="20"/>
          <w:szCs w:val="20"/>
        </w:rPr>
        <w:t xml:space="preserve"> women out of 81 total posts</w:t>
      </w:r>
      <w:r w:rsidR="00BF2790">
        <w:rPr>
          <w:rFonts w:ascii="Times New Roman" w:hAnsi="Times New Roman" w:cs="Times New Roman"/>
          <w:sz w:val="20"/>
          <w:szCs w:val="20"/>
        </w:rPr>
        <w:t xml:space="preserve"> (9.9 per cent)</w:t>
      </w:r>
      <w:r w:rsidRPr="004C370E">
        <w:rPr>
          <w:rFonts w:ascii="Times New Roman" w:hAnsi="Times New Roman" w:cs="Times New Roman"/>
          <w:sz w:val="20"/>
          <w:szCs w:val="20"/>
        </w:rPr>
        <w:t xml:space="preserve">. This contributes to the problems seen at these levels in the Secretariat as a whole, which is to </w:t>
      </w:r>
      <w:r w:rsidR="00BF2790">
        <w:rPr>
          <w:rFonts w:ascii="Times New Roman" w:hAnsi="Times New Roman" w:cs="Times New Roman"/>
          <w:sz w:val="20"/>
          <w:szCs w:val="20"/>
        </w:rPr>
        <w:t>be expected given that DPKO/</w:t>
      </w:r>
      <w:r w:rsidRPr="004C370E">
        <w:rPr>
          <w:rFonts w:ascii="Times New Roman" w:hAnsi="Times New Roman" w:cs="Times New Roman"/>
          <w:sz w:val="20"/>
          <w:szCs w:val="20"/>
        </w:rPr>
        <w:t xml:space="preserve">DFS </w:t>
      </w:r>
      <w:r w:rsidR="00BF2790">
        <w:rPr>
          <w:rFonts w:ascii="Times New Roman" w:hAnsi="Times New Roman" w:cs="Times New Roman"/>
          <w:sz w:val="20"/>
          <w:szCs w:val="20"/>
        </w:rPr>
        <w:t xml:space="preserve">led </w:t>
      </w:r>
      <w:proofErr w:type="gramStart"/>
      <w:r w:rsidR="00BF2790">
        <w:rPr>
          <w:rFonts w:ascii="Times New Roman" w:hAnsi="Times New Roman" w:cs="Times New Roman"/>
          <w:sz w:val="20"/>
          <w:szCs w:val="20"/>
        </w:rPr>
        <w:t>missions</w:t>
      </w:r>
      <w:proofErr w:type="gramEnd"/>
      <w:r w:rsidR="00BF2790">
        <w:rPr>
          <w:rFonts w:ascii="Times New Roman" w:hAnsi="Times New Roman" w:cs="Times New Roman"/>
          <w:sz w:val="20"/>
          <w:szCs w:val="20"/>
        </w:rPr>
        <w:t xml:space="preserve"> </w:t>
      </w:r>
      <w:r w:rsidRPr="004C370E">
        <w:rPr>
          <w:rFonts w:ascii="Times New Roman" w:hAnsi="Times New Roman" w:cs="Times New Roman"/>
          <w:sz w:val="20"/>
          <w:szCs w:val="20"/>
        </w:rPr>
        <w:t>account for a substantial portion of the ASG and D-2 posts in the Secretariat</w:t>
      </w:r>
      <w:r w:rsidR="00BF2790">
        <w:rPr>
          <w:rFonts w:ascii="Times New Roman" w:hAnsi="Times New Roman" w:cs="Times New Roman"/>
          <w:sz w:val="20"/>
          <w:szCs w:val="20"/>
        </w:rPr>
        <w:t xml:space="preserve"> (51.4 and 27.8 per cent respectively)</w:t>
      </w:r>
      <w:r w:rsidRPr="004C370E">
        <w:rPr>
          <w:rFonts w:ascii="Times New Roman" w:hAnsi="Times New Roman" w:cs="Times New Roman"/>
          <w:sz w:val="20"/>
          <w:szCs w:val="20"/>
        </w:rPr>
        <w:t xml:space="preserve">. Therefore, if progress at the </w:t>
      </w:r>
      <w:proofErr w:type="gramStart"/>
      <w:r w:rsidRPr="004C370E">
        <w:rPr>
          <w:rFonts w:ascii="Times New Roman" w:hAnsi="Times New Roman" w:cs="Times New Roman"/>
          <w:sz w:val="20"/>
          <w:szCs w:val="20"/>
        </w:rPr>
        <w:t>Ungraded</w:t>
      </w:r>
      <w:proofErr w:type="gramEnd"/>
      <w:r w:rsidRPr="004C370E">
        <w:rPr>
          <w:rFonts w:ascii="Times New Roman" w:hAnsi="Times New Roman" w:cs="Times New Roman"/>
          <w:sz w:val="20"/>
          <w:szCs w:val="20"/>
        </w:rPr>
        <w:t xml:space="preserve"> levels of the Secretariat is to be accelerated, attention is required at the ASG and D-2 levels of DPKO/DFS</w:t>
      </w:r>
      <w:r w:rsidR="00BF2790">
        <w:rPr>
          <w:rFonts w:ascii="Times New Roman" w:hAnsi="Times New Roman" w:cs="Times New Roman"/>
          <w:sz w:val="20"/>
          <w:szCs w:val="20"/>
        </w:rPr>
        <w:t xml:space="preserve"> led missions</w:t>
      </w:r>
      <w:r w:rsidRPr="004C370E">
        <w:rPr>
          <w:rFonts w:ascii="Times New Roman" w:hAnsi="Times New Roman" w:cs="Times New Roman"/>
          <w:sz w:val="20"/>
          <w:szCs w:val="20"/>
        </w:rPr>
        <w:t>.</w:t>
      </w:r>
    </w:p>
    <w:p w:rsidR="003E730B" w:rsidRPr="00937214" w:rsidRDefault="003E730B" w:rsidP="00F85E1B">
      <w:pPr>
        <w:spacing w:after="0" w:line="240" w:lineRule="auto"/>
        <w:ind w:right="1267"/>
        <w:rPr>
          <w:rFonts w:ascii="Times New Roman" w:hAnsi="Times New Roman" w:cs="Times New Roman"/>
          <w:b/>
          <w:sz w:val="20"/>
          <w:szCs w:val="20"/>
          <w:vertAlign w:val="superscript"/>
        </w:rPr>
      </w:pPr>
      <w:r w:rsidRPr="003E730B">
        <w:rPr>
          <w:rFonts w:ascii="Times New Roman" w:hAnsi="Times New Roman" w:cs="Times New Roman"/>
          <w:sz w:val="20"/>
          <w:szCs w:val="20"/>
        </w:rPr>
        <w:t xml:space="preserve">Figure </w:t>
      </w:r>
      <w:r w:rsidR="004178FA">
        <w:rPr>
          <w:rFonts w:ascii="Times New Roman" w:hAnsi="Times New Roman" w:cs="Times New Roman"/>
          <w:sz w:val="20"/>
          <w:szCs w:val="20"/>
        </w:rPr>
        <w:t>17.1</w:t>
      </w:r>
      <w:r w:rsidRPr="003E730B">
        <w:rPr>
          <w:rFonts w:ascii="Times New Roman" w:hAnsi="Times New Roman" w:cs="Times New Roman"/>
          <w:b/>
          <w:sz w:val="20"/>
          <w:szCs w:val="20"/>
        </w:rPr>
        <w:br/>
      </w:r>
      <w:r w:rsidR="00BF2790">
        <w:rPr>
          <w:rFonts w:ascii="Times New Roman" w:hAnsi="Times New Roman" w:cs="Times New Roman"/>
          <w:b/>
          <w:sz w:val="20"/>
          <w:szCs w:val="20"/>
        </w:rPr>
        <w:t>Comparison of the p</w:t>
      </w:r>
      <w:r w:rsidR="004974B9">
        <w:rPr>
          <w:rFonts w:ascii="Times New Roman" w:hAnsi="Times New Roman" w:cs="Times New Roman"/>
          <w:b/>
          <w:sz w:val="20"/>
          <w:szCs w:val="20"/>
        </w:rPr>
        <w:t xml:space="preserve">ercentage </w:t>
      </w:r>
      <w:r w:rsidRPr="003E730B">
        <w:rPr>
          <w:rFonts w:ascii="Times New Roman" w:hAnsi="Times New Roman" w:cs="Times New Roman"/>
          <w:b/>
          <w:sz w:val="20"/>
          <w:szCs w:val="20"/>
        </w:rPr>
        <w:t xml:space="preserve">of women at the D-1 to USG levels </w:t>
      </w:r>
      <w:r w:rsidR="004974B9">
        <w:rPr>
          <w:rFonts w:ascii="Times New Roman" w:hAnsi="Times New Roman" w:cs="Times New Roman"/>
          <w:b/>
          <w:sz w:val="20"/>
          <w:szCs w:val="20"/>
        </w:rPr>
        <w:t>of DPKO/DFS</w:t>
      </w:r>
      <w:r w:rsidR="00BF2790">
        <w:rPr>
          <w:rFonts w:ascii="Times New Roman" w:hAnsi="Times New Roman" w:cs="Times New Roman"/>
          <w:b/>
          <w:sz w:val="20"/>
          <w:szCs w:val="20"/>
        </w:rPr>
        <w:t xml:space="preserve"> led missions</w:t>
      </w:r>
      <w:r w:rsidR="004974B9">
        <w:rPr>
          <w:rFonts w:ascii="Times New Roman" w:hAnsi="Times New Roman" w:cs="Times New Roman"/>
          <w:b/>
          <w:sz w:val="20"/>
          <w:szCs w:val="20"/>
        </w:rPr>
        <w:t>, on contracts of one</w:t>
      </w:r>
      <w:r w:rsidRPr="003E730B">
        <w:rPr>
          <w:rFonts w:ascii="Times New Roman" w:hAnsi="Times New Roman" w:cs="Times New Roman"/>
          <w:b/>
          <w:sz w:val="20"/>
          <w:szCs w:val="20"/>
        </w:rPr>
        <w:t xml:space="preserve"> year or more</w:t>
      </w:r>
      <w:r w:rsidR="004974B9">
        <w:rPr>
          <w:rFonts w:ascii="Times New Roman" w:hAnsi="Times New Roman" w:cs="Times New Roman"/>
          <w:b/>
          <w:sz w:val="20"/>
          <w:szCs w:val="20"/>
        </w:rPr>
        <w:t>, as at</w:t>
      </w:r>
      <w:r w:rsidRPr="003E730B">
        <w:rPr>
          <w:rFonts w:ascii="Times New Roman" w:hAnsi="Times New Roman" w:cs="Times New Roman"/>
          <w:b/>
          <w:sz w:val="20"/>
          <w:szCs w:val="20"/>
        </w:rPr>
        <w:t xml:space="preserve"> 31 December 2009</w:t>
      </w:r>
      <w:r w:rsidR="006962EF">
        <w:rPr>
          <w:rFonts w:ascii="Times New Roman" w:hAnsi="Times New Roman" w:cs="Times New Roman"/>
          <w:b/>
          <w:sz w:val="20"/>
          <w:szCs w:val="20"/>
          <w:vertAlign w:val="superscript"/>
        </w:rPr>
        <w:t>a</w:t>
      </w:r>
      <w:r w:rsidRPr="003E730B">
        <w:rPr>
          <w:rFonts w:ascii="Times New Roman" w:hAnsi="Times New Roman" w:cs="Times New Roman"/>
          <w:b/>
          <w:sz w:val="20"/>
          <w:szCs w:val="20"/>
        </w:rPr>
        <w:t xml:space="preserve"> and 2011</w:t>
      </w:r>
      <w:r w:rsidR="00937214">
        <w:rPr>
          <w:rFonts w:ascii="Times New Roman" w:hAnsi="Times New Roman" w:cs="Times New Roman"/>
          <w:b/>
          <w:sz w:val="20"/>
          <w:szCs w:val="20"/>
          <w:vertAlign w:val="superscript"/>
        </w:rPr>
        <w:t>b</w:t>
      </w:r>
    </w:p>
    <w:p w:rsidR="003E730B" w:rsidRPr="003E730B" w:rsidRDefault="00F85E1B" w:rsidP="003E730B">
      <w:pPr>
        <w:spacing w:before="100" w:beforeAutospacing="1" w:after="120" w:line="240" w:lineRule="exact"/>
        <w:ind w:left="1267" w:right="1267"/>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4457700" cy="3018155"/>
            <wp:effectExtent l="25400" t="25400" r="12700" b="444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3E730B" w:rsidRPr="003E730B" w:rsidRDefault="003E730B" w:rsidP="003E730B">
      <w:pPr>
        <w:spacing w:before="100" w:beforeAutospacing="1" w:after="120" w:line="240" w:lineRule="exact"/>
        <w:ind w:left="1267" w:right="1267"/>
        <w:jc w:val="both"/>
        <w:rPr>
          <w:rFonts w:ascii="Times New Roman" w:eastAsia="Times New Roman" w:hAnsi="Times New Roman" w:cs="Times New Roman"/>
          <w:sz w:val="20"/>
          <w:szCs w:val="20"/>
        </w:rPr>
      </w:pPr>
    </w:p>
    <w:p w:rsidR="00F85E1B" w:rsidRDefault="003E730B" w:rsidP="0088171F">
      <w:pPr>
        <w:spacing w:before="100" w:beforeAutospacing="1" w:after="0" w:line="240" w:lineRule="auto"/>
        <w:ind w:right="1267"/>
        <w:jc w:val="both"/>
        <w:rPr>
          <w:rFonts w:ascii="Times New Roman" w:eastAsia="Times New Roman" w:hAnsi="Times New Roman" w:cs="Times New Roman"/>
          <w:sz w:val="17"/>
          <w:szCs w:val="20"/>
        </w:rPr>
      </w:pPr>
      <w:r w:rsidRPr="006962EF">
        <w:rPr>
          <w:rFonts w:ascii="Times New Roman" w:eastAsia="Times New Roman" w:hAnsi="Times New Roman" w:cs="Times New Roman"/>
          <w:i/>
          <w:sz w:val="17"/>
          <w:szCs w:val="20"/>
        </w:rPr>
        <w:t>Source</w:t>
      </w:r>
      <w:r w:rsidRPr="003E730B">
        <w:rPr>
          <w:rFonts w:ascii="Times New Roman" w:eastAsia="Times New Roman" w:hAnsi="Times New Roman" w:cs="Times New Roman"/>
          <w:sz w:val="17"/>
          <w:szCs w:val="20"/>
        </w:rPr>
        <w:t>: Department of Peace Keeping Operations and the Department of Field Support.</w:t>
      </w:r>
    </w:p>
    <w:p w:rsidR="00937214" w:rsidRDefault="00F85E1B" w:rsidP="00F85E1B">
      <w:pPr>
        <w:spacing w:after="0" w:line="240" w:lineRule="auto"/>
        <w:ind w:right="1267"/>
        <w:jc w:val="both"/>
        <w:rPr>
          <w:rFonts w:ascii="Times New Roman" w:eastAsia="Times New Roman" w:hAnsi="Times New Roman" w:cs="Times New Roman"/>
          <w:sz w:val="17"/>
          <w:szCs w:val="20"/>
        </w:rPr>
      </w:pPr>
      <w:proofErr w:type="gramStart"/>
      <w:r>
        <w:rPr>
          <w:rFonts w:ascii="Times New Roman" w:eastAsia="Times New Roman" w:hAnsi="Times New Roman" w:cs="Times New Roman"/>
          <w:sz w:val="17"/>
          <w:szCs w:val="20"/>
          <w:vertAlign w:val="superscript"/>
        </w:rPr>
        <w:t>a</w:t>
      </w:r>
      <w:proofErr w:type="gramEnd"/>
      <w:r>
        <w:rPr>
          <w:rFonts w:ascii="Times New Roman" w:eastAsia="Times New Roman" w:hAnsi="Times New Roman" w:cs="Times New Roman"/>
          <w:sz w:val="17"/>
          <w:szCs w:val="20"/>
          <w:vertAlign w:val="superscript"/>
        </w:rPr>
        <w:t xml:space="preserve"> </w:t>
      </w:r>
      <w:r>
        <w:rPr>
          <w:rFonts w:ascii="Times New Roman" w:eastAsia="Times New Roman" w:hAnsi="Times New Roman" w:cs="Times New Roman"/>
          <w:sz w:val="17"/>
          <w:szCs w:val="20"/>
        </w:rPr>
        <w:t>A/65/334</w:t>
      </w:r>
      <w:r w:rsidR="00482305">
        <w:rPr>
          <w:rFonts w:ascii="Times New Roman" w:eastAsia="Times New Roman" w:hAnsi="Times New Roman" w:cs="Times New Roman"/>
          <w:sz w:val="17"/>
          <w:szCs w:val="20"/>
        </w:rPr>
        <w:t>.</w:t>
      </w:r>
    </w:p>
    <w:p w:rsidR="003E730B" w:rsidRPr="00937214" w:rsidRDefault="00937214" w:rsidP="00F85E1B">
      <w:pPr>
        <w:spacing w:after="0" w:line="240" w:lineRule="auto"/>
        <w:ind w:right="1267"/>
        <w:jc w:val="both"/>
        <w:rPr>
          <w:rFonts w:ascii="Times New Roman" w:eastAsia="Times New Roman" w:hAnsi="Times New Roman" w:cs="Times New Roman"/>
          <w:sz w:val="17"/>
          <w:szCs w:val="20"/>
        </w:rPr>
      </w:pPr>
      <w:proofErr w:type="gramStart"/>
      <w:r>
        <w:rPr>
          <w:rFonts w:ascii="Times New Roman" w:eastAsia="Times New Roman" w:hAnsi="Times New Roman" w:cs="Times New Roman"/>
          <w:sz w:val="17"/>
          <w:szCs w:val="20"/>
          <w:vertAlign w:val="superscript"/>
        </w:rPr>
        <w:t>b</w:t>
      </w:r>
      <w:proofErr w:type="gramEnd"/>
      <w:r>
        <w:rPr>
          <w:rFonts w:ascii="Times New Roman" w:eastAsia="Times New Roman" w:hAnsi="Times New Roman" w:cs="Times New Roman"/>
          <w:sz w:val="17"/>
          <w:szCs w:val="20"/>
          <w:vertAlign w:val="superscript"/>
        </w:rPr>
        <w:t xml:space="preserve"> </w:t>
      </w:r>
      <w:r>
        <w:rPr>
          <w:rFonts w:ascii="Times New Roman" w:eastAsia="Times New Roman" w:hAnsi="Times New Roman" w:cs="Times New Roman"/>
          <w:sz w:val="17"/>
          <w:szCs w:val="20"/>
        </w:rPr>
        <w:t>Prepared based on data submitted by DPKO/DFS</w:t>
      </w:r>
      <w:r w:rsidR="00482305">
        <w:rPr>
          <w:rFonts w:ascii="Times New Roman" w:eastAsia="Times New Roman" w:hAnsi="Times New Roman" w:cs="Times New Roman"/>
          <w:sz w:val="17"/>
          <w:szCs w:val="20"/>
        </w:rPr>
        <w:t>.</w:t>
      </w:r>
    </w:p>
    <w:p w:rsidR="00482305" w:rsidRDefault="00482305" w:rsidP="006539B3">
      <w:pPr>
        <w:spacing w:after="120" w:line="240" w:lineRule="exact"/>
        <w:ind w:left="1267" w:right="1267"/>
        <w:jc w:val="both"/>
        <w:rPr>
          <w:rFonts w:ascii="Times New Roman" w:hAnsi="Times New Roman" w:cs="Times New Roman"/>
          <w:sz w:val="20"/>
          <w:szCs w:val="20"/>
        </w:rPr>
      </w:pPr>
    </w:p>
    <w:p w:rsidR="00AA0484" w:rsidRPr="006539B3" w:rsidRDefault="003E730B" w:rsidP="006539B3">
      <w:pPr>
        <w:spacing w:after="120" w:line="240" w:lineRule="exact"/>
        <w:ind w:left="1267" w:right="1267"/>
        <w:jc w:val="both"/>
        <w:rPr>
          <w:rFonts w:ascii="Times New Roman" w:hAnsi="Times New Roman" w:cs="Times New Roman"/>
          <w:color w:val="000000"/>
          <w:sz w:val="20"/>
          <w:szCs w:val="20"/>
        </w:rPr>
      </w:pPr>
      <w:r w:rsidRPr="003E730B">
        <w:rPr>
          <w:rFonts w:ascii="Times New Roman" w:hAnsi="Times New Roman" w:cs="Times New Roman"/>
          <w:sz w:val="20"/>
          <w:szCs w:val="20"/>
        </w:rPr>
        <w:lastRenderedPageBreak/>
        <w:t xml:space="preserve">None of the 21 field missions with 20 or more international </w:t>
      </w:r>
      <w:proofErr w:type="gramStart"/>
      <w:r w:rsidRPr="003E730B">
        <w:rPr>
          <w:rFonts w:ascii="Times New Roman" w:hAnsi="Times New Roman" w:cs="Times New Roman"/>
          <w:sz w:val="20"/>
          <w:szCs w:val="20"/>
        </w:rPr>
        <w:t>posts</w:t>
      </w:r>
      <w:r w:rsidR="00BC3FA6">
        <w:rPr>
          <w:rFonts w:ascii="Times New Roman" w:hAnsi="Times New Roman" w:cs="Times New Roman"/>
          <w:sz w:val="20"/>
          <w:szCs w:val="20"/>
        </w:rPr>
        <w:t>,</w:t>
      </w:r>
      <w:proofErr w:type="gramEnd"/>
      <w:r w:rsidRPr="003E730B">
        <w:rPr>
          <w:rFonts w:ascii="Times New Roman" w:hAnsi="Times New Roman" w:cs="Times New Roman"/>
          <w:sz w:val="20"/>
          <w:szCs w:val="20"/>
        </w:rPr>
        <w:t xml:space="preserve"> achieved 40 percent or more representation of women</w:t>
      </w:r>
      <w:r w:rsidR="00D1435C">
        <w:rPr>
          <w:rFonts w:ascii="Times New Roman" w:hAnsi="Times New Roman" w:cs="Times New Roman"/>
          <w:sz w:val="20"/>
          <w:szCs w:val="20"/>
        </w:rPr>
        <w:t xml:space="preserve"> across the</w:t>
      </w:r>
      <w:r w:rsidR="00AA0484">
        <w:rPr>
          <w:rFonts w:ascii="Times New Roman" w:hAnsi="Times New Roman" w:cs="Times New Roman"/>
          <w:sz w:val="20"/>
          <w:szCs w:val="20"/>
        </w:rPr>
        <w:t xml:space="preserve"> </w:t>
      </w:r>
      <w:r w:rsidR="008470A0">
        <w:rPr>
          <w:rFonts w:ascii="Times New Roman" w:hAnsi="Times New Roman" w:cs="Times New Roman"/>
          <w:sz w:val="20"/>
          <w:szCs w:val="20"/>
        </w:rPr>
        <w:t xml:space="preserve">Professional and higher </w:t>
      </w:r>
      <w:r w:rsidR="00AA0484">
        <w:rPr>
          <w:rFonts w:ascii="Times New Roman" w:hAnsi="Times New Roman" w:cs="Times New Roman"/>
          <w:sz w:val="20"/>
          <w:szCs w:val="20"/>
        </w:rPr>
        <w:t>levels</w:t>
      </w:r>
      <w:r w:rsidRPr="003E730B">
        <w:rPr>
          <w:rFonts w:ascii="Times New Roman" w:hAnsi="Times New Roman" w:cs="Times New Roman"/>
          <w:sz w:val="20"/>
          <w:szCs w:val="20"/>
        </w:rPr>
        <w:t>. Ten missions had between 30 and 39 percent female representation</w:t>
      </w:r>
      <w:r w:rsidR="00F63995">
        <w:rPr>
          <w:rStyle w:val="FootnoteReference"/>
          <w:rFonts w:ascii="Times New Roman" w:hAnsi="Times New Roman" w:cs="Times New Roman"/>
          <w:sz w:val="20"/>
          <w:szCs w:val="20"/>
        </w:rPr>
        <w:footnoteReference w:id="2"/>
      </w:r>
      <w:r w:rsidRPr="003E730B">
        <w:rPr>
          <w:rFonts w:ascii="Times New Roman" w:hAnsi="Times New Roman" w:cs="Times New Roman"/>
          <w:sz w:val="20"/>
          <w:szCs w:val="20"/>
        </w:rPr>
        <w:t>, while the remaining 11 had below 29 percent</w:t>
      </w:r>
      <w:r w:rsidR="00BC3FA6">
        <w:rPr>
          <w:rStyle w:val="FootnoteReference"/>
          <w:rFonts w:ascii="Times New Roman" w:hAnsi="Times New Roman" w:cs="Times New Roman"/>
          <w:sz w:val="20"/>
          <w:szCs w:val="20"/>
        </w:rPr>
        <w:footnoteReference w:id="3"/>
      </w:r>
      <w:r w:rsidRPr="003E730B">
        <w:rPr>
          <w:rFonts w:ascii="Times New Roman" w:hAnsi="Times New Roman" w:cs="Times New Roman"/>
          <w:sz w:val="20"/>
          <w:szCs w:val="20"/>
        </w:rPr>
        <w:t>.</w:t>
      </w:r>
      <w:r w:rsidRPr="003E730B">
        <w:rPr>
          <w:rFonts w:ascii="Times New Roman" w:hAnsi="Times New Roman" w:cs="Times New Roman"/>
          <w:color w:val="000000"/>
          <w:sz w:val="20"/>
          <w:szCs w:val="20"/>
        </w:rPr>
        <w:t xml:space="preserve"> </w:t>
      </w:r>
      <w:r w:rsidR="00AA0484" w:rsidRPr="003E730B">
        <w:rPr>
          <w:rFonts w:ascii="Times New Roman" w:hAnsi="Times New Roman" w:cs="Times New Roman"/>
          <w:sz w:val="20"/>
          <w:szCs w:val="20"/>
        </w:rPr>
        <w:t xml:space="preserve">At the </w:t>
      </w:r>
      <w:r w:rsidR="00AA0484">
        <w:rPr>
          <w:rFonts w:ascii="Times New Roman" w:hAnsi="Times New Roman" w:cs="Times New Roman"/>
          <w:sz w:val="20"/>
          <w:szCs w:val="20"/>
        </w:rPr>
        <w:t>higher levels (D-1 to USG)</w:t>
      </w:r>
      <w:r w:rsidR="00AA0484" w:rsidRPr="003E730B">
        <w:rPr>
          <w:rFonts w:ascii="Times New Roman" w:hAnsi="Times New Roman" w:cs="Times New Roman"/>
          <w:sz w:val="20"/>
          <w:szCs w:val="20"/>
        </w:rPr>
        <w:t>, only one mission, BNUB, achieved greater than 50 per cent representation of women</w:t>
      </w:r>
      <w:r w:rsidR="00EB0534">
        <w:rPr>
          <w:rFonts w:ascii="Times New Roman" w:hAnsi="Times New Roman" w:cs="Times New Roman"/>
          <w:sz w:val="20"/>
          <w:szCs w:val="20"/>
        </w:rPr>
        <w:t xml:space="preserve"> and</w:t>
      </w:r>
      <w:r w:rsidR="00AA0484" w:rsidRPr="003E730B">
        <w:rPr>
          <w:rFonts w:ascii="Times New Roman" w:hAnsi="Times New Roman" w:cs="Times New Roman"/>
          <w:i/>
          <w:sz w:val="20"/>
          <w:szCs w:val="20"/>
        </w:rPr>
        <w:t xml:space="preserve"> </w:t>
      </w:r>
      <w:r w:rsidR="004178FA">
        <w:rPr>
          <w:rFonts w:ascii="Times New Roman" w:hAnsi="Times New Roman" w:cs="Times New Roman"/>
          <w:sz w:val="20"/>
          <w:szCs w:val="20"/>
        </w:rPr>
        <w:t>most of the 21 missions had</w:t>
      </w:r>
      <w:r w:rsidR="00AA0484" w:rsidRPr="00EB0534">
        <w:rPr>
          <w:rFonts w:ascii="Times New Roman" w:hAnsi="Times New Roman" w:cs="Times New Roman"/>
          <w:sz w:val="20"/>
          <w:szCs w:val="20"/>
        </w:rPr>
        <w:t xml:space="preserve"> either no representation of women or less than 20 per cent</w:t>
      </w:r>
      <w:r w:rsidR="00EB0534">
        <w:rPr>
          <w:rFonts w:ascii="Times New Roman" w:hAnsi="Times New Roman" w:cs="Times New Roman"/>
          <w:sz w:val="20"/>
          <w:szCs w:val="20"/>
        </w:rPr>
        <w:t xml:space="preserve"> at the higher</w:t>
      </w:r>
      <w:r w:rsidR="00AA0484" w:rsidRPr="003E730B">
        <w:rPr>
          <w:rFonts w:ascii="Times New Roman" w:hAnsi="Times New Roman" w:cs="Times New Roman"/>
          <w:sz w:val="20"/>
          <w:szCs w:val="20"/>
        </w:rPr>
        <w:t xml:space="preserve"> levels</w:t>
      </w:r>
      <w:r w:rsidR="004178FA">
        <w:rPr>
          <w:rFonts w:ascii="Times New Roman" w:hAnsi="Times New Roman" w:cs="Times New Roman"/>
          <w:sz w:val="20"/>
          <w:szCs w:val="20"/>
        </w:rPr>
        <w:t xml:space="preserve"> (see Table 17.1</w:t>
      </w:r>
      <w:r w:rsidR="00EB0534">
        <w:rPr>
          <w:rFonts w:ascii="Times New Roman" w:hAnsi="Times New Roman" w:cs="Times New Roman"/>
          <w:sz w:val="20"/>
          <w:szCs w:val="20"/>
        </w:rPr>
        <w:t>)</w:t>
      </w:r>
      <w:r w:rsidR="00EB0534">
        <w:rPr>
          <w:rFonts w:ascii="Times New Roman" w:hAnsi="Times New Roman" w:cs="Times New Roman"/>
          <w:i/>
          <w:sz w:val="20"/>
          <w:szCs w:val="20"/>
        </w:rPr>
        <w:t>.</w:t>
      </w:r>
    </w:p>
    <w:p w:rsidR="003E730B" w:rsidRPr="003E730B" w:rsidRDefault="00AA0484" w:rsidP="003E730B">
      <w:pPr>
        <w:spacing w:after="120" w:line="240" w:lineRule="exact"/>
        <w:ind w:right="1267"/>
        <w:rPr>
          <w:rFonts w:ascii="Times New Roman" w:hAnsi="Times New Roman" w:cs="Times New Roman"/>
          <w:b/>
          <w:sz w:val="20"/>
          <w:szCs w:val="20"/>
        </w:rPr>
      </w:pPr>
      <w:r>
        <w:rPr>
          <w:rFonts w:ascii="Times New Roman" w:hAnsi="Times New Roman" w:cs="Times New Roman"/>
          <w:sz w:val="20"/>
          <w:szCs w:val="20"/>
        </w:rPr>
        <w:t xml:space="preserve">Table </w:t>
      </w:r>
      <w:r w:rsidR="004178FA">
        <w:rPr>
          <w:rFonts w:ascii="Times New Roman" w:hAnsi="Times New Roman" w:cs="Times New Roman"/>
          <w:sz w:val="20"/>
          <w:szCs w:val="20"/>
        </w:rPr>
        <w:t>17.1</w:t>
      </w:r>
      <w:r w:rsidR="003E730B" w:rsidRPr="003E730B">
        <w:rPr>
          <w:rFonts w:ascii="Times New Roman" w:hAnsi="Times New Roman" w:cs="Times New Roman"/>
          <w:b/>
          <w:sz w:val="20"/>
          <w:szCs w:val="20"/>
        </w:rPr>
        <w:br/>
      </w:r>
      <w:r w:rsidR="00D06F07">
        <w:rPr>
          <w:rFonts w:ascii="Times New Roman" w:hAnsi="Times New Roman" w:cs="Times New Roman"/>
          <w:b/>
          <w:sz w:val="20"/>
          <w:szCs w:val="20"/>
        </w:rPr>
        <w:t>Percentage of women at the D-1 to USG levels of the Departments of Peacekeeping Operations an</w:t>
      </w:r>
      <w:r w:rsidR="00FA513F">
        <w:rPr>
          <w:rFonts w:ascii="Times New Roman" w:hAnsi="Times New Roman" w:cs="Times New Roman"/>
          <w:b/>
          <w:sz w:val="20"/>
          <w:szCs w:val="20"/>
        </w:rPr>
        <w:t xml:space="preserve">d Field Support for missions with 20 or more Professional staff, </w:t>
      </w:r>
      <w:r w:rsidR="00D06F07">
        <w:rPr>
          <w:rFonts w:ascii="Times New Roman" w:hAnsi="Times New Roman" w:cs="Times New Roman"/>
          <w:b/>
          <w:sz w:val="20"/>
          <w:szCs w:val="20"/>
        </w:rPr>
        <w:t>on contracts of one year or more, as at 31 December 2011</w:t>
      </w:r>
    </w:p>
    <w:tbl>
      <w:tblPr>
        <w:tblW w:w="9833" w:type="dxa"/>
        <w:tblInd w:w="93" w:type="dxa"/>
        <w:tblBorders>
          <w:top w:val="single" w:sz="8" w:space="0" w:color="auto"/>
          <w:insideH w:val="single" w:sz="4" w:space="0" w:color="auto"/>
          <w:insideV w:val="single" w:sz="4" w:space="0" w:color="auto"/>
        </w:tblBorders>
        <w:tblLook w:val="04A0" w:firstRow="1" w:lastRow="0" w:firstColumn="1" w:lastColumn="0" w:noHBand="0" w:noVBand="1"/>
      </w:tblPr>
      <w:tblGrid>
        <w:gridCol w:w="1740"/>
        <w:gridCol w:w="2241"/>
        <w:gridCol w:w="2112"/>
        <w:gridCol w:w="1980"/>
        <w:gridCol w:w="1760"/>
      </w:tblGrid>
      <w:tr w:rsidR="003E730B" w:rsidRPr="003E730B">
        <w:trPr>
          <w:trHeight w:val="649"/>
        </w:trPr>
        <w:tc>
          <w:tcPr>
            <w:tcW w:w="1740" w:type="dxa"/>
            <w:tcBorders>
              <w:top w:val="single" w:sz="8" w:space="0" w:color="auto"/>
              <w:bottom w:val="single" w:sz="4" w:space="0" w:color="auto"/>
              <w:right w:val="nil"/>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i/>
                <w:iCs/>
                <w:color w:val="000000"/>
                <w:sz w:val="14"/>
                <w:szCs w:val="14"/>
              </w:rPr>
            </w:pPr>
            <w:r w:rsidRPr="003E730B">
              <w:rPr>
                <w:rFonts w:ascii="Times New Roman" w:eastAsia="Times New Roman" w:hAnsi="Times New Roman" w:cs="Times New Roman"/>
                <w:i/>
                <w:iCs/>
                <w:color w:val="000000"/>
                <w:sz w:val="14"/>
                <w:szCs w:val="14"/>
              </w:rPr>
              <w:t>50 per cent</w:t>
            </w:r>
          </w:p>
        </w:tc>
        <w:tc>
          <w:tcPr>
            <w:tcW w:w="2241" w:type="dxa"/>
            <w:tcBorders>
              <w:top w:val="single" w:sz="8" w:space="0" w:color="auto"/>
              <w:left w:val="nil"/>
              <w:bottom w:val="single" w:sz="4" w:space="0" w:color="auto"/>
              <w:right w:val="nil"/>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i/>
                <w:iCs/>
                <w:color w:val="000000"/>
                <w:sz w:val="14"/>
                <w:szCs w:val="14"/>
              </w:rPr>
            </w:pPr>
            <w:r w:rsidRPr="003E730B">
              <w:rPr>
                <w:rFonts w:ascii="Times New Roman" w:eastAsia="Times New Roman" w:hAnsi="Times New Roman" w:cs="Times New Roman"/>
                <w:i/>
                <w:iCs/>
                <w:color w:val="000000"/>
                <w:sz w:val="14"/>
                <w:szCs w:val="14"/>
              </w:rPr>
              <w:t>30-49 per cent</w:t>
            </w:r>
          </w:p>
        </w:tc>
        <w:tc>
          <w:tcPr>
            <w:tcW w:w="2112" w:type="dxa"/>
            <w:tcBorders>
              <w:top w:val="single" w:sz="8" w:space="0" w:color="auto"/>
              <w:left w:val="nil"/>
              <w:bottom w:val="single" w:sz="4" w:space="0" w:color="auto"/>
              <w:right w:val="nil"/>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i/>
                <w:iCs/>
                <w:color w:val="000000"/>
                <w:sz w:val="14"/>
                <w:szCs w:val="14"/>
              </w:rPr>
            </w:pPr>
            <w:r w:rsidRPr="003E730B">
              <w:rPr>
                <w:rFonts w:ascii="Times New Roman" w:eastAsia="Times New Roman" w:hAnsi="Times New Roman" w:cs="Times New Roman"/>
                <w:i/>
                <w:iCs/>
                <w:color w:val="000000"/>
                <w:sz w:val="14"/>
                <w:szCs w:val="14"/>
              </w:rPr>
              <w:t>20-29 per cent</w:t>
            </w:r>
          </w:p>
        </w:tc>
        <w:tc>
          <w:tcPr>
            <w:tcW w:w="1980" w:type="dxa"/>
            <w:tcBorders>
              <w:top w:val="single" w:sz="8" w:space="0" w:color="auto"/>
              <w:left w:val="nil"/>
              <w:bottom w:val="single" w:sz="4" w:space="0" w:color="auto"/>
              <w:right w:val="nil"/>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i/>
                <w:iCs/>
                <w:color w:val="000000"/>
                <w:sz w:val="14"/>
                <w:szCs w:val="14"/>
              </w:rPr>
            </w:pPr>
            <w:r w:rsidRPr="003E730B">
              <w:rPr>
                <w:rFonts w:ascii="Times New Roman" w:eastAsia="Times New Roman" w:hAnsi="Times New Roman" w:cs="Times New Roman"/>
                <w:i/>
                <w:iCs/>
                <w:color w:val="000000"/>
                <w:sz w:val="14"/>
                <w:szCs w:val="14"/>
              </w:rPr>
              <w:t>&lt; 20 per cent</w:t>
            </w:r>
          </w:p>
        </w:tc>
        <w:tc>
          <w:tcPr>
            <w:tcW w:w="1760" w:type="dxa"/>
            <w:tcBorders>
              <w:top w:val="single" w:sz="8" w:space="0" w:color="auto"/>
              <w:left w:val="nil"/>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i/>
                <w:iCs/>
                <w:color w:val="000000"/>
                <w:sz w:val="14"/>
                <w:szCs w:val="14"/>
              </w:rPr>
            </w:pPr>
            <w:r w:rsidRPr="003E730B">
              <w:rPr>
                <w:rFonts w:ascii="Times New Roman" w:eastAsia="Times New Roman" w:hAnsi="Times New Roman" w:cs="Times New Roman"/>
                <w:i/>
                <w:iCs/>
                <w:color w:val="000000"/>
                <w:sz w:val="14"/>
                <w:szCs w:val="14"/>
              </w:rPr>
              <w:t>No women at the decision-making level</w:t>
            </w:r>
          </w:p>
        </w:tc>
      </w:tr>
      <w:tr w:rsidR="003E730B" w:rsidRPr="003E730B">
        <w:trPr>
          <w:trHeight w:hRule="exact" w:val="224"/>
        </w:trPr>
        <w:tc>
          <w:tcPr>
            <w:tcW w:w="174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r>
      <w:tr w:rsidR="003E730B" w:rsidRPr="003E730B">
        <w:trPr>
          <w:trHeight w:val="340"/>
        </w:trPr>
        <w:tc>
          <w:tcPr>
            <w:tcW w:w="1740" w:type="dxa"/>
            <w:vMerge w:val="restart"/>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BNUB (66.7%)</w:t>
            </w: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BINUCA   (33.3%)</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MONUSCO   (22.7%)</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MINUSTAH (13%)</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MINURSO</w:t>
            </w:r>
          </w:p>
        </w:tc>
      </w:tr>
      <w:tr w:rsidR="003E730B" w:rsidRPr="003E730B">
        <w:trPr>
          <w:trHeight w:val="340"/>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UNAMA   (30%)</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ONUCI   (25%)</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UNAMI (14.3%)</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UNOGBIS</w:t>
            </w:r>
          </w:p>
        </w:tc>
      </w:tr>
      <w:tr w:rsidR="003E730B" w:rsidRPr="003E730B">
        <w:trPr>
          <w:trHeight w:val="355"/>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UNMISS   (35.7%)</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UNSOA   (25%)</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UNAMID (16.7%)</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UNIPSIL</w:t>
            </w:r>
          </w:p>
        </w:tc>
      </w:tr>
      <w:tr w:rsidR="003E730B" w:rsidRPr="003E730B">
        <w:trPr>
          <w:trHeight w:val="438"/>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UNIFIL (14.3%)</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GSC-UNLB</w:t>
            </w:r>
          </w:p>
        </w:tc>
      </w:tr>
      <w:tr w:rsidR="003E730B" w:rsidRPr="003E730B">
        <w:trPr>
          <w:trHeight w:val="438"/>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UNMIK (12.5%)</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UNOAU</w:t>
            </w:r>
          </w:p>
        </w:tc>
      </w:tr>
      <w:tr w:rsidR="003E730B" w:rsidRPr="003E730B">
        <w:trPr>
          <w:trHeight w:val="438"/>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2112"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UNMIL (17.6%)</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UNPOS</w:t>
            </w:r>
          </w:p>
        </w:tc>
      </w:tr>
      <w:tr w:rsidR="003E730B" w:rsidRPr="003E730B">
        <w:trPr>
          <w:trHeight w:val="438"/>
        </w:trPr>
        <w:tc>
          <w:tcPr>
            <w:tcW w:w="1740" w:type="dxa"/>
            <w:vMerge/>
            <w:tcBorders>
              <w:top w:val="single" w:sz="4" w:space="0" w:color="auto"/>
              <w:bottom w:val="single" w:sz="4" w:space="0" w:color="auto"/>
            </w:tcBorders>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p>
        </w:tc>
        <w:tc>
          <w:tcPr>
            <w:tcW w:w="2241"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2112" w:type="dxa"/>
            <w:tcBorders>
              <w:top w:val="single" w:sz="4" w:space="0" w:color="auto"/>
              <w:bottom w:val="single" w:sz="4" w:space="0" w:color="auto"/>
            </w:tcBorders>
            <w:shd w:val="clear" w:color="auto" w:fill="auto"/>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 </w:t>
            </w:r>
          </w:p>
        </w:tc>
        <w:tc>
          <w:tcPr>
            <w:tcW w:w="198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UNMIT (16.7%)</w:t>
            </w:r>
          </w:p>
        </w:tc>
        <w:tc>
          <w:tcPr>
            <w:tcW w:w="1760" w:type="dxa"/>
            <w:tcBorders>
              <w:top w:val="single" w:sz="4" w:space="0" w:color="auto"/>
              <w:bottom w:val="single" w:sz="4" w:space="0" w:color="auto"/>
            </w:tcBorders>
            <w:shd w:val="clear" w:color="auto" w:fill="auto"/>
            <w:vAlign w:val="center"/>
          </w:tcPr>
          <w:p w:rsidR="003E730B" w:rsidRPr="003E730B" w:rsidRDefault="003E730B" w:rsidP="003E730B">
            <w:pPr>
              <w:spacing w:after="0" w:line="240" w:lineRule="auto"/>
              <w:rPr>
                <w:rFonts w:ascii="Times New Roman" w:eastAsia="Times New Roman" w:hAnsi="Times New Roman" w:cs="Times New Roman"/>
                <w:color w:val="000000"/>
                <w:sz w:val="20"/>
                <w:szCs w:val="20"/>
              </w:rPr>
            </w:pPr>
            <w:r w:rsidRPr="003E730B">
              <w:rPr>
                <w:rFonts w:ascii="Times New Roman" w:eastAsia="Times New Roman" w:hAnsi="Times New Roman" w:cs="Times New Roman"/>
                <w:color w:val="000000"/>
                <w:sz w:val="20"/>
                <w:szCs w:val="20"/>
              </w:rPr>
              <w:t>UNSMIL</w:t>
            </w:r>
          </w:p>
        </w:tc>
      </w:tr>
    </w:tbl>
    <w:p w:rsidR="003E730B" w:rsidRPr="003E730B" w:rsidRDefault="003E730B" w:rsidP="003E730B">
      <w:pPr>
        <w:spacing w:after="120" w:line="240" w:lineRule="exact"/>
        <w:ind w:right="1267"/>
        <w:jc w:val="both"/>
        <w:rPr>
          <w:rFonts w:ascii="Times New Roman" w:hAnsi="Times New Roman" w:cs="Times New Roman"/>
          <w:sz w:val="16"/>
          <w:szCs w:val="16"/>
        </w:rPr>
      </w:pPr>
      <w:r w:rsidRPr="003E730B">
        <w:rPr>
          <w:rFonts w:ascii="Times New Roman" w:hAnsi="Times New Roman" w:cs="Times New Roman"/>
          <w:i/>
          <w:sz w:val="17"/>
          <w:szCs w:val="17"/>
        </w:rPr>
        <w:t>Source:</w:t>
      </w:r>
      <w:r w:rsidRPr="003E730B">
        <w:rPr>
          <w:rFonts w:ascii="Times New Roman" w:hAnsi="Times New Roman" w:cs="Times New Roman"/>
          <w:sz w:val="17"/>
          <w:szCs w:val="17"/>
        </w:rPr>
        <w:t xml:space="preserve"> Department of Peacekeeping Operations and the Department of Field Support</w:t>
      </w:r>
      <w:r w:rsidRPr="003E730B">
        <w:rPr>
          <w:rFonts w:ascii="Times New Roman" w:hAnsi="Times New Roman" w:cs="Times New Roman"/>
          <w:sz w:val="16"/>
          <w:szCs w:val="16"/>
        </w:rPr>
        <w:t xml:space="preserve">.          </w:t>
      </w:r>
    </w:p>
    <w:p w:rsidR="00D22ABF" w:rsidRDefault="00D22ABF" w:rsidP="00EB0534">
      <w:pPr>
        <w:spacing w:after="120" w:line="240" w:lineRule="exact"/>
        <w:ind w:left="1267" w:right="1267"/>
        <w:jc w:val="both"/>
        <w:rPr>
          <w:rFonts w:ascii="Times New Roman" w:hAnsi="Times New Roman" w:cs="Times New Roman"/>
          <w:sz w:val="20"/>
          <w:szCs w:val="20"/>
        </w:rPr>
      </w:pPr>
    </w:p>
    <w:p w:rsidR="00EB0534" w:rsidRPr="00EB0534" w:rsidRDefault="00EB0534" w:rsidP="00EB0534">
      <w:pPr>
        <w:spacing w:after="120" w:line="240" w:lineRule="exact"/>
        <w:ind w:left="1267" w:right="1267"/>
        <w:jc w:val="both"/>
        <w:rPr>
          <w:rFonts w:ascii="Times New Roman" w:hAnsi="Times New Roman" w:cs="Times New Roman"/>
          <w:sz w:val="20"/>
          <w:szCs w:val="20"/>
        </w:rPr>
      </w:pPr>
      <w:r w:rsidRPr="003E730B">
        <w:rPr>
          <w:rFonts w:ascii="Times New Roman" w:hAnsi="Times New Roman" w:cs="Times New Roman"/>
          <w:sz w:val="20"/>
          <w:szCs w:val="20"/>
        </w:rPr>
        <w:t>Women served as Special Representative of the Secretary-General (SRS</w:t>
      </w:r>
      <w:r w:rsidR="00C22B72">
        <w:rPr>
          <w:rFonts w:ascii="Times New Roman" w:hAnsi="Times New Roman" w:cs="Times New Roman"/>
          <w:sz w:val="20"/>
          <w:szCs w:val="20"/>
        </w:rPr>
        <w:t>G) or Head of Mission (</w:t>
      </w:r>
      <w:proofErr w:type="spellStart"/>
      <w:r w:rsidR="00C22B72">
        <w:rPr>
          <w:rFonts w:ascii="Times New Roman" w:hAnsi="Times New Roman" w:cs="Times New Roman"/>
          <w:sz w:val="20"/>
          <w:szCs w:val="20"/>
        </w:rPr>
        <w:t>HoM</w:t>
      </w:r>
      <w:proofErr w:type="spellEnd"/>
      <w:r w:rsidR="00C22B72">
        <w:rPr>
          <w:rFonts w:ascii="Times New Roman" w:hAnsi="Times New Roman" w:cs="Times New Roman"/>
          <w:sz w:val="20"/>
          <w:szCs w:val="20"/>
        </w:rPr>
        <w:t>) in six</w:t>
      </w:r>
      <w:r w:rsidRPr="003E730B">
        <w:rPr>
          <w:rFonts w:ascii="Times New Roman" w:hAnsi="Times New Roman" w:cs="Times New Roman"/>
          <w:sz w:val="20"/>
          <w:szCs w:val="20"/>
        </w:rPr>
        <w:t xml:space="preserve"> missions,</w:t>
      </w:r>
      <w:r w:rsidRPr="003E730B">
        <w:rPr>
          <w:rFonts w:ascii="Times New Roman" w:hAnsi="Times New Roman" w:cs="Times New Roman"/>
          <w:sz w:val="20"/>
          <w:szCs w:val="20"/>
          <w:vertAlign w:val="superscript"/>
        </w:rPr>
        <w:footnoteReference w:id="4"/>
      </w:r>
      <w:r w:rsidRPr="003E730B">
        <w:rPr>
          <w:rFonts w:ascii="Times New Roman" w:hAnsi="Times New Roman" w:cs="Times New Roman"/>
          <w:sz w:val="20"/>
          <w:szCs w:val="20"/>
        </w:rPr>
        <w:t xml:space="preserve"> and as De</w:t>
      </w:r>
      <w:r w:rsidR="00C22B72">
        <w:rPr>
          <w:rFonts w:ascii="Times New Roman" w:hAnsi="Times New Roman" w:cs="Times New Roman"/>
          <w:sz w:val="20"/>
          <w:szCs w:val="20"/>
        </w:rPr>
        <w:t>puty Special Representative in five</w:t>
      </w:r>
      <w:r w:rsidRPr="003E730B">
        <w:rPr>
          <w:rFonts w:ascii="Times New Roman" w:hAnsi="Times New Roman" w:cs="Times New Roman"/>
          <w:sz w:val="20"/>
          <w:szCs w:val="20"/>
        </w:rPr>
        <w:t xml:space="preserve"> missions.</w:t>
      </w:r>
      <w:r w:rsidRPr="003E730B">
        <w:rPr>
          <w:rFonts w:ascii="Times New Roman" w:hAnsi="Times New Roman" w:cs="Times New Roman"/>
          <w:sz w:val="20"/>
          <w:szCs w:val="20"/>
          <w:vertAlign w:val="superscript"/>
        </w:rPr>
        <w:footnoteReference w:id="5"/>
      </w:r>
      <w:r w:rsidRPr="003E730B">
        <w:rPr>
          <w:rFonts w:ascii="Times New Roman" w:hAnsi="Times New Roman" w:cs="Times New Roman"/>
          <w:sz w:val="20"/>
          <w:szCs w:val="20"/>
        </w:rPr>
        <w:t xml:space="preserve"> In BNUB and UNMISS, both the SRSG and DSRSG were women. Ni</w:t>
      </w:r>
      <w:r>
        <w:rPr>
          <w:rFonts w:ascii="Times New Roman" w:hAnsi="Times New Roman" w:cs="Times New Roman"/>
          <w:sz w:val="20"/>
          <w:szCs w:val="20"/>
        </w:rPr>
        <w:t>ne missions had at least one</w:t>
      </w:r>
      <w:r w:rsidRPr="003E730B">
        <w:rPr>
          <w:rFonts w:ascii="Times New Roman" w:hAnsi="Times New Roman" w:cs="Times New Roman"/>
          <w:sz w:val="20"/>
          <w:szCs w:val="20"/>
        </w:rPr>
        <w:t xml:space="preserve"> full-time gender adviser</w:t>
      </w:r>
      <w:r w:rsidRPr="003E730B">
        <w:rPr>
          <w:rFonts w:ascii="Times New Roman" w:hAnsi="Times New Roman" w:cs="Times New Roman"/>
          <w:sz w:val="20"/>
          <w:szCs w:val="20"/>
          <w:vertAlign w:val="superscript"/>
        </w:rPr>
        <w:footnoteReference w:id="6"/>
      </w:r>
      <w:r w:rsidRPr="003E730B">
        <w:rPr>
          <w:rFonts w:ascii="Times New Roman" w:hAnsi="Times New Roman" w:cs="Times New Roman"/>
          <w:sz w:val="20"/>
          <w:szCs w:val="20"/>
        </w:rPr>
        <w:t xml:space="preserve"> and all DPKO-led missions have appointed Focal Points for Women (FPW), though there remains concern that the voluntary nature of these posts severely limits their capacity to address the many iss</w:t>
      </w:r>
      <w:r>
        <w:rPr>
          <w:rFonts w:ascii="Times New Roman" w:hAnsi="Times New Roman" w:cs="Times New Roman"/>
          <w:sz w:val="20"/>
          <w:szCs w:val="20"/>
        </w:rPr>
        <w:t>ues that inhibit gender parity.</w:t>
      </w:r>
    </w:p>
    <w:p w:rsidR="00F873DE" w:rsidRDefault="00F873DE" w:rsidP="00DE3A50">
      <w:pPr>
        <w:spacing w:after="120" w:line="240" w:lineRule="exact"/>
        <w:ind w:left="1267" w:right="1267"/>
        <w:jc w:val="both"/>
        <w:rPr>
          <w:rFonts w:ascii="Times New Roman" w:hAnsi="Times New Roman" w:cs="Times New Roman"/>
          <w:b/>
          <w:sz w:val="20"/>
          <w:szCs w:val="20"/>
        </w:rPr>
      </w:pPr>
    </w:p>
    <w:p w:rsidR="00DE3A50" w:rsidRPr="003E730B" w:rsidRDefault="00DE3A50" w:rsidP="00DE3A50">
      <w:pPr>
        <w:spacing w:after="120" w:line="240" w:lineRule="exact"/>
        <w:ind w:left="1267" w:right="1267"/>
        <w:jc w:val="both"/>
        <w:rPr>
          <w:rFonts w:ascii="Times New Roman" w:hAnsi="Times New Roman" w:cs="Times New Roman"/>
          <w:b/>
          <w:sz w:val="20"/>
          <w:szCs w:val="20"/>
        </w:rPr>
      </w:pPr>
      <w:r w:rsidRPr="003E730B">
        <w:rPr>
          <w:rFonts w:ascii="Times New Roman" w:hAnsi="Times New Roman" w:cs="Times New Roman"/>
          <w:b/>
          <w:sz w:val="20"/>
          <w:szCs w:val="20"/>
        </w:rPr>
        <w:lastRenderedPageBreak/>
        <w:t>Rep</w:t>
      </w:r>
      <w:r>
        <w:rPr>
          <w:rFonts w:ascii="Times New Roman" w:hAnsi="Times New Roman" w:cs="Times New Roman"/>
          <w:b/>
          <w:sz w:val="20"/>
          <w:szCs w:val="20"/>
        </w:rPr>
        <w:t>resentation of women at headquarters locations</w:t>
      </w:r>
    </w:p>
    <w:p w:rsidR="00D22ABF" w:rsidRDefault="00472104" w:rsidP="00DE3A50">
      <w:pPr>
        <w:spacing w:after="120" w:line="240" w:lineRule="exact"/>
        <w:ind w:left="1267" w:right="1267"/>
        <w:jc w:val="both"/>
        <w:rPr>
          <w:rFonts w:ascii="Times New Roman" w:hAnsi="Times New Roman" w:cs="Times New Roman"/>
          <w:sz w:val="20"/>
          <w:szCs w:val="20"/>
        </w:rPr>
      </w:pPr>
      <w:r>
        <w:rPr>
          <w:rFonts w:ascii="Times New Roman" w:hAnsi="Times New Roman" w:cs="Times New Roman"/>
          <w:sz w:val="20"/>
          <w:szCs w:val="20"/>
        </w:rPr>
        <w:t>Figure 17.2</w:t>
      </w:r>
      <w:r w:rsidR="00DE3A50" w:rsidRPr="00BF4DA3">
        <w:rPr>
          <w:rFonts w:ascii="Times New Roman" w:hAnsi="Times New Roman" w:cs="Times New Roman"/>
          <w:sz w:val="20"/>
          <w:szCs w:val="20"/>
        </w:rPr>
        <w:t xml:space="preserve"> shows the percentage change in the proportion of women at headquarters locations by department, between 2009 and 2011. Notably, DPKO and DFS display diametrically o</w:t>
      </w:r>
      <w:r>
        <w:rPr>
          <w:rFonts w:ascii="Times New Roman" w:hAnsi="Times New Roman" w:cs="Times New Roman"/>
          <w:sz w:val="20"/>
          <w:szCs w:val="20"/>
        </w:rPr>
        <w:t>pposite trends at the P-2 and P-3</w:t>
      </w:r>
      <w:r w:rsidR="00DE3A50" w:rsidRPr="00BF4DA3">
        <w:rPr>
          <w:rFonts w:ascii="Times New Roman" w:hAnsi="Times New Roman" w:cs="Times New Roman"/>
          <w:sz w:val="20"/>
          <w:szCs w:val="20"/>
        </w:rPr>
        <w:t xml:space="preserve"> levels, with DFS demonstrating greater progress overall between the P-2 and P-5 levels</w:t>
      </w:r>
      <w:r w:rsidR="000C758C" w:rsidRPr="00BF4DA3">
        <w:rPr>
          <w:rFonts w:ascii="Times New Roman" w:hAnsi="Times New Roman" w:cs="Times New Roman"/>
          <w:sz w:val="20"/>
          <w:szCs w:val="20"/>
        </w:rPr>
        <w:t xml:space="preserve"> (42.4 per cent </w:t>
      </w:r>
      <w:r>
        <w:rPr>
          <w:rFonts w:ascii="Times New Roman" w:hAnsi="Times New Roman" w:cs="Times New Roman"/>
          <w:sz w:val="20"/>
          <w:szCs w:val="20"/>
        </w:rPr>
        <w:t xml:space="preserve">women </w:t>
      </w:r>
      <w:r w:rsidR="000C758C" w:rsidRPr="00BF4DA3">
        <w:rPr>
          <w:rFonts w:ascii="Times New Roman" w:hAnsi="Times New Roman" w:cs="Times New Roman"/>
          <w:sz w:val="20"/>
          <w:szCs w:val="20"/>
        </w:rPr>
        <w:t>compared to 30.4 per cent)</w:t>
      </w:r>
      <w:r w:rsidR="00DE3A50" w:rsidRPr="00BF4DA3">
        <w:rPr>
          <w:rFonts w:ascii="Times New Roman" w:hAnsi="Times New Roman" w:cs="Times New Roman"/>
          <w:sz w:val="20"/>
          <w:szCs w:val="20"/>
        </w:rPr>
        <w:t>. This is particularly noteworthy at the P-3 level, where the decrease at DPKO has</w:t>
      </w:r>
      <w:r w:rsidR="005F3090" w:rsidRPr="00BF4DA3">
        <w:rPr>
          <w:rFonts w:ascii="Times New Roman" w:hAnsi="Times New Roman" w:cs="Times New Roman"/>
          <w:sz w:val="20"/>
          <w:szCs w:val="20"/>
        </w:rPr>
        <w:t xml:space="preserve"> jeopardized the</w:t>
      </w:r>
      <w:r w:rsidR="000C758C" w:rsidRPr="00BF4DA3">
        <w:rPr>
          <w:rFonts w:ascii="Times New Roman" w:hAnsi="Times New Roman" w:cs="Times New Roman"/>
          <w:sz w:val="20"/>
          <w:szCs w:val="20"/>
        </w:rPr>
        <w:t>ir</w:t>
      </w:r>
      <w:r w:rsidR="005F3090" w:rsidRPr="00BF4DA3">
        <w:rPr>
          <w:rFonts w:ascii="Times New Roman" w:hAnsi="Times New Roman" w:cs="Times New Roman"/>
          <w:sz w:val="20"/>
          <w:szCs w:val="20"/>
        </w:rPr>
        <w:t xml:space="preserve"> attainment of parity</w:t>
      </w:r>
      <w:r w:rsidR="000C758C" w:rsidRPr="00BF4DA3">
        <w:rPr>
          <w:rFonts w:ascii="Times New Roman" w:hAnsi="Times New Roman" w:cs="Times New Roman"/>
          <w:sz w:val="20"/>
          <w:szCs w:val="20"/>
        </w:rPr>
        <w:t xml:space="preserve"> at</w:t>
      </w:r>
      <w:r w:rsidR="00E0040B" w:rsidRPr="00BF4DA3">
        <w:rPr>
          <w:rFonts w:ascii="Times New Roman" w:hAnsi="Times New Roman" w:cs="Times New Roman"/>
          <w:sz w:val="20"/>
          <w:szCs w:val="20"/>
        </w:rPr>
        <w:t xml:space="preserve"> this level</w:t>
      </w:r>
      <w:r w:rsidR="00DE3A50" w:rsidRPr="00BF4DA3">
        <w:rPr>
          <w:rFonts w:ascii="Times New Roman" w:hAnsi="Times New Roman" w:cs="Times New Roman"/>
          <w:sz w:val="20"/>
          <w:szCs w:val="20"/>
        </w:rPr>
        <w:t xml:space="preserve">. Progress at the P-4 and P-5 levels in DPKO is significant given the slow progress at these levels across the UN system. </w:t>
      </w:r>
      <w:r w:rsidR="009E5254" w:rsidRPr="00BF4DA3">
        <w:rPr>
          <w:rFonts w:ascii="Times New Roman" w:hAnsi="Times New Roman" w:cs="Times New Roman"/>
          <w:sz w:val="20"/>
          <w:szCs w:val="20"/>
        </w:rPr>
        <w:t>However, even with a 5.6</w:t>
      </w:r>
      <w:r w:rsidR="00DE3A50" w:rsidRPr="00BF4DA3">
        <w:rPr>
          <w:rFonts w:ascii="Times New Roman" w:hAnsi="Times New Roman" w:cs="Times New Roman"/>
          <w:sz w:val="20"/>
          <w:szCs w:val="20"/>
        </w:rPr>
        <w:t xml:space="preserve"> decrease at the P-4 level, DFS continues to have a larger proportion of women at the P-4 and P-5 levels (37.9 and 40.7 per cent respectively). Both departments show significant declines at the D-1 level, though these levels are subject to greater fluctuation owing to the small overall numbers of staff. At the D-2 level DPKO has a higher proportion of women</w:t>
      </w:r>
      <w:r w:rsidR="009755AE" w:rsidRPr="00BF4DA3">
        <w:rPr>
          <w:rFonts w:ascii="Times New Roman" w:hAnsi="Times New Roman" w:cs="Times New Roman"/>
          <w:sz w:val="20"/>
          <w:szCs w:val="20"/>
        </w:rPr>
        <w:t xml:space="preserve"> (66.7 per cent)</w:t>
      </w:r>
      <w:r w:rsidR="00DE3A50" w:rsidRPr="00BF4DA3">
        <w:rPr>
          <w:rFonts w:ascii="Times New Roman" w:hAnsi="Times New Roman" w:cs="Times New Roman"/>
          <w:sz w:val="20"/>
          <w:szCs w:val="20"/>
        </w:rPr>
        <w:t xml:space="preserve"> than the system average </w:t>
      </w:r>
      <w:r w:rsidR="005F3090" w:rsidRPr="00BF4DA3">
        <w:rPr>
          <w:rFonts w:ascii="Times New Roman" w:hAnsi="Times New Roman" w:cs="Times New Roman"/>
          <w:sz w:val="20"/>
          <w:szCs w:val="20"/>
        </w:rPr>
        <w:t>at headquarters</w:t>
      </w:r>
      <w:r w:rsidR="00DE3A50" w:rsidRPr="00BF4DA3">
        <w:rPr>
          <w:rFonts w:ascii="Times New Roman" w:hAnsi="Times New Roman" w:cs="Times New Roman"/>
          <w:sz w:val="20"/>
          <w:szCs w:val="20"/>
        </w:rPr>
        <w:t xml:space="preserve"> location</w:t>
      </w:r>
      <w:r w:rsidR="005F3090" w:rsidRPr="00BF4DA3">
        <w:rPr>
          <w:rFonts w:ascii="Times New Roman" w:hAnsi="Times New Roman" w:cs="Times New Roman"/>
          <w:sz w:val="20"/>
          <w:szCs w:val="20"/>
        </w:rPr>
        <w:t>s</w:t>
      </w:r>
      <w:r w:rsidR="0009444B" w:rsidRPr="00BF4DA3">
        <w:rPr>
          <w:rFonts w:ascii="Times New Roman" w:hAnsi="Times New Roman" w:cs="Times New Roman"/>
          <w:sz w:val="20"/>
          <w:szCs w:val="20"/>
        </w:rPr>
        <w:t xml:space="preserve"> (</w:t>
      </w:r>
      <w:r w:rsidR="00825340" w:rsidRPr="00BF4DA3">
        <w:rPr>
          <w:rFonts w:ascii="Times New Roman" w:hAnsi="Times New Roman" w:cs="Times New Roman"/>
          <w:sz w:val="20"/>
          <w:szCs w:val="20"/>
        </w:rPr>
        <w:t>27.4 per cent)</w:t>
      </w:r>
      <w:r w:rsidR="005F3090" w:rsidRPr="00BF4DA3">
        <w:rPr>
          <w:rFonts w:ascii="Times New Roman" w:hAnsi="Times New Roman" w:cs="Times New Roman"/>
          <w:sz w:val="20"/>
          <w:szCs w:val="20"/>
        </w:rPr>
        <w:t>, a total of four out of six</w:t>
      </w:r>
      <w:r w:rsidR="00DE3A50" w:rsidRPr="00BF4DA3">
        <w:rPr>
          <w:rFonts w:ascii="Times New Roman" w:hAnsi="Times New Roman" w:cs="Times New Roman"/>
          <w:sz w:val="20"/>
          <w:szCs w:val="20"/>
        </w:rPr>
        <w:t xml:space="preserve"> posts</w:t>
      </w:r>
      <w:r w:rsidR="00DE3A50" w:rsidRPr="00BF4DA3">
        <w:rPr>
          <w:rFonts w:ascii="Times New Roman" w:hAnsi="Times New Roman" w:cs="Times New Roman"/>
          <w:i/>
          <w:sz w:val="20"/>
          <w:szCs w:val="20"/>
        </w:rPr>
        <w:t xml:space="preserve">. </w:t>
      </w:r>
      <w:r w:rsidR="005F3090" w:rsidRPr="00BF4DA3">
        <w:rPr>
          <w:rFonts w:ascii="Times New Roman" w:hAnsi="Times New Roman" w:cs="Times New Roman"/>
          <w:sz w:val="20"/>
          <w:szCs w:val="20"/>
        </w:rPr>
        <w:t>Conversely, none of the four</w:t>
      </w:r>
      <w:r w:rsidR="00DE3A50" w:rsidRPr="00BF4DA3">
        <w:rPr>
          <w:rFonts w:ascii="Times New Roman" w:hAnsi="Times New Roman" w:cs="Times New Roman"/>
          <w:sz w:val="20"/>
          <w:szCs w:val="20"/>
        </w:rPr>
        <w:t xml:space="preserve"> D-2 posts at DFS are held by women.</w:t>
      </w:r>
    </w:p>
    <w:p w:rsidR="00DE3A50" w:rsidRPr="00BF4DA3" w:rsidRDefault="00DE3A50" w:rsidP="00DE3A50">
      <w:pPr>
        <w:spacing w:after="120" w:line="240" w:lineRule="exact"/>
        <w:ind w:left="1267" w:right="1267"/>
        <w:jc w:val="both"/>
        <w:rPr>
          <w:rFonts w:ascii="Times New Roman" w:hAnsi="Times New Roman" w:cs="Times New Roman"/>
          <w:sz w:val="20"/>
          <w:szCs w:val="20"/>
        </w:rPr>
      </w:pPr>
    </w:p>
    <w:p w:rsidR="00DE3A50" w:rsidRPr="003E730B" w:rsidRDefault="00DE3A50" w:rsidP="00DE3A50">
      <w:pPr>
        <w:spacing w:after="120" w:line="240" w:lineRule="exact"/>
        <w:ind w:right="1267"/>
        <w:rPr>
          <w:rFonts w:ascii="Times New Roman" w:hAnsi="Times New Roman" w:cs="Times New Roman"/>
          <w:b/>
          <w:sz w:val="20"/>
          <w:szCs w:val="20"/>
        </w:rPr>
      </w:pPr>
      <w:r w:rsidRPr="003E730B">
        <w:rPr>
          <w:rFonts w:ascii="Times New Roman" w:hAnsi="Times New Roman" w:cs="Times New Roman"/>
          <w:sz w:val="20"/>
          <w:szCs w:val="20"/>
        </w:rPr>
        <w:t xml:space="preserve">Figure </w:t>
      </w:r>
      <w:r w:rsidR="00472104">
        <w:rPr>
          <w:rFonts w:ascii="Times New Roman" w:hAnsi="Times New Roman" w:cs="Times New Roman"/>
          <w:sz w:val="20"/>
          <w:szCs w:val="20"/>
        </w:rPr>
        <w:t>17.2</w:t>
      </w:r>
      <w:r>
        <w:rPr>
          <w:rFonts w:ascii="Times New Roman" w:hAnsi="Times New Roman" w:cs="Times New Roman"/>
          <w:b/>
          <w:sz w:val="20"/>
          <w:szCs w:val="20"/>
        </w:rPr>
        <w:br/>
        <w:t>Comparison of the p</w:t>
      </w:r>
      <w:r w:rsidRPr="003E730B">
        <w:rPr>
          <w:rFonts w:ascii="Times New Roman" w:hAnsi="Times New Roman" w:cs="Times New Roman"/>
          <w:b/>
          <w:sz w:val="20"/>
          <w:szCs w:val="20"/>
        </w:rPr>
        <w:t>ercentage change in the representation of women</w:t>
      </w:r>
      <w:r w:rsidRPr="00DE3A50">
        <w:rPr>
          <w:rFonts w:ascii="Times New Roman" w:hAnsi="Times New Roman" w:cs="Times New Roman"/>
          <w:b/>
          <w:sz w:val="20"/>
          <w:szCs w:val="20"/>
        </w:rPr>
        <w:t xml:space="preserve"> </w:t>
      </w:r>
      <w:r w:rsidRPr="003E730B">
        <w:rPr>
          <w:rFonts w:ascii="Times New Roman" w:hAnsi="Times New Roman" w:cs="Times New Roman"/>
          <w:b/>
          <w:sz w:val="20"/>
          <w:szCs w:val="20"/>
        </w:rPr>
        <w:t>at the P-2 to D-2 levels at DPKO and DFS headquarters locations, on cont</w:t>
      </w:r>
      <w:r w:rsidR="00825340">
        <w:rPr>
          <w:rFonts w:ascii="Times New Roman" w:hAnsi="Times New Roman" w:cs="Times New Roman"/>
          <w:b/>
          <w:sz w:val="20"/>
          <w:szCs w:val="20"/>
        </w:rPr>
        <w:t>racts of one</w:t>
      </w:r>
      <w:r>
        <w:rPr>
          <w:rFonts w:ascii="Times New Roman" w:hAnsi="Times New Roman" w:cs="Times New Roman"/>
          <w:b/>
          <w:sz w:val="20"/>
          <w:szCs w:val="20"/>
        </w:rPr>
        <w:t xml:space="preserve"> year or more, between 31 December</w:t>
      </w:r>
      <w:r w:rsidRPr="003E730B">
        <w:rPr>
          <w:rFonts w:ascii="Times New Roman" w:hAnsi="Times New Roman" w:cs="Times New Roman"/>
          <w:b/>
          <w:sz w:val="20"/>
          <w:szCs w:val="20"/>
        </w:rPr>
        <w:t xml:space="preserve"> 2009 and 2011</w:t>
      </w:r>
    </w:p>
    <w:p w:rsidR="00DE3A50" w:rsidRPr="003E730B" w:rsidRDefault="00DE3A50" w:rsidP="00DE3A50">
      <w:pPr>
        <w:spacing w:after="120" w:line="240" w:lineRule="exact"/>
        <w:ind w:right="1267"/>
        <w:rPr>
          <w:rFonts w:ascii="Times New Roman" w:hAnsi="Times New Roman" w:cs="Times New Roman"/>
          <w:b/>
          <w:sz w:val="20"/>
          <w:szCs w:val="20"/>
        </w:rPr>
      </w:pPr>
      <w:r w:rsidRPr="003E730B">
        <w:rPr>
          <w:rFonts w:ascii="Times New Roman" w:hAnsi="Times New Roman" w:cs="Times New Roman"/>
          <w:b/>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8048" cy="3534924"/>
            <wp:effectExtent l="25400" t="25400" r="23752"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left="1267" w:right="1267"/>
        <w:jc w:val="both"/>
        <w:rPr>
          <w:rFonts w:ascii="Times New Roman" w:eastAsia="Times New Roman" w:hAnsi="Times New Roman" w:cs="Times New Roman"/>
          <w:b/>
          <w:sz w:val="20"/>
          <w:szCs w:val="20"/>
        </w:rPr>
      </w:pPr>
    </w:p>
    <w:p w:rsidR="00DE3A50" w:rsidRPr="003E730B" w:rsidRDefault="00DE3A50" w:rsidP="00DE3A50">
      <w:pPr>
        <w:spacing w:before="100" w:beforeAutospacing="1" w:after="120" w:line="240" w:lineRule="exact"/>
        <w:ind w:right="1267"/>
        <w:jc w:val="both"/>
        <w:rPr>
          <w:rFonts w:ascii="Times New Roman" w:eastAsia="Times New Roman" w:hAnsi="Times New Roman" w:cs="Times New Roman"/>
          <w:sz w:val="17"/>
          <w:szCs w:val="20"/>
        </w:rPr>
      </w:pPr>
      <w:r w:rsidRPr="003E730B">
        <w:rPr>
          <w:rFonts w:ascii="Times New Roman" w:eastAsia="Times New Roman" w:hAnsi="Times New Roman" w:cs="Times New Roman"/>
          <w:sz w:val="17"/>
          <w:szCs w:val="20"/>
        </w:rPr>
        <w:t>Source: Department of Peace Keeping Operations and the Department of Field Support.</w:t>
      </w:r>
    </w:p>
    <w:p w:rsidR="0071470C" w:rsidRDefault="0071470C" w:rsidP="001F4305">
      <w:pPr>
        <w:spacing w:after="120" w:line="240" w:lineRule="exact"/>
        <w:ind w:left="1267" w:right="1267"/>
        <w:jc w:val="both"/>
        <w:rPr>
          <w:rFonts w:ascii="Times New Roman" w:hAnsi="Times New Roman" w:cs="Times New Roman"/>
          <w:sz w:val="20"/>
          <w:szCs w:val="20"/>
        </w:rPr>
      </w:pPr>
    </w:p>
    <w:p w:rsidR="00D310EE" w:rsidRPr="00D310EE" w:rsidRDefault="00D310EE" w:rsidP="001F4305">
      <w:pPr>
        <w:spacing w:after="120" w:line="240" w:lineRule="exact"/>
        <w:ind w:left="1267" w:right="1267"/>
        <w:jc w:val="both"/>
        <w:rPr>
          <w:rFonts w:ascii="Times New Roman" w:hAnsi="Times New Roman" w:cs="Times New Roman"/>
          <w:b/>
          <w:sz w:val="20"/>
          <w:szCs w:val="20"/>
        </w:rPr>
      </w:pPr>
      <w:r>
        <w:rPr>
          <w:rFonts w:ascii="Times New Roman" w:hAnsi="Times New Roman" w:cs="Times New Roman"/>
          <w:b/>
          <w:sz w:val="20"/>
          <w:szCs w:val="20"/>
        </w:rPr>
        <w:t>Policies and practices of the DPKO and DFS</w:t>
      </w:r>
    </w:p>
    <w:p w:rsidR="00D310EE" w:rsidRDefault="00D310EE" w:rsidP="00D310EE">
      <w:pPr>
        <w:spacing w:after="120" w:line="240" w:lineRule="exact"/>
        <w:ind w:left="1267" w:right="1267"/>
        <w:jc w:val="both"/>
        <w:rPr>
          <w:rFonts w:ascii="Times New Roman" w:hAnsi="Times New Roman" w:cs="Times New Roman"/>
          <w:sz w:val="20"/>
          <w:szCs w:val="20"/>
        </w:rPr>
      </w:pPr>
      <w:r w:rsidRPr="00D310EE">
        <w:rPr>
          <w:rFonts w:ascii="Times New Roman" w:hAnsi="Times New Roman" w:cs="Times New Roman"/>
          <w:sz w:val="20"/>
          <w:szCs w:val="20"/>
        </w:rPr>
        <w:t xml:space="preserve">Exit interviews with separating female staff revealed that work-life </w:t>
      </w:r>
      <w:proofErr w:type="gramStart"/>
      <w:r w:rsidRPr="00D310EE">
        <w:rPr>
          <w:rFonts w:ascii="Times New Roman" w:hAnsi="Times New Roman" w:cs="Times New Roman"/>
          <w:sz w:val="20"/>
          <w:szCs w:val="20"/>
        </w:rPr>
        <w:t>imbalance,</w:t>
      </w:r>
      <w:proofErr w:type="gramEnd"/>
      <w:r w:rsidRPr="00D310EE">
        <w:rPr>
          <w:rFonts w:ascii="Times New Roman" w:hAnsi="Times New Roman" w:cs="Times New Roman"/>
          <w:sz w:val="20"/>
          <w:szCs w:val="20"/>
        </w:rPr>
        <w:t xml:space="preserve"> limited career prospects, recruitment and appraisal processes, and </w:t>
      </w:r>
      <w:proofErr w:type="spellStart"/>
      <w:r w:rsidRPr="00D310EE">
        <w:rPr>
          <w:rFonts w:ascii="Times New Roman" w:hAnsi="Times New Roman" w:cs="Times New Roman"/>
          <w:sz w:val="20"/>
          <w:szCs w:val="20"/>
        </w:rPr>
        <w:t>unfavourable</w:t>
      </w:r>
      <w:proofErr w:type="spellEnd"/>
      <w:r w:rsidRPr="00D310EE">
        <w:rPr>
          <w:rFonts w:ascii="Times New Roman" w:hAnsi="Times New Roman" w:cs="Times New Roman"/>
          <w:sz w:val="20"/>
          <w:szCs w:val="20"/>
        </w:rPr>
        <w:t xml:space="preserve"> </w:t>
      </w:r>
      <w:r w:rsidRPr="00D310EE">
        <w:rPr>
          <w:rFonts w:ascii="Times New Roman" w:hAnsi="Times New Roman" w:cs="Times New Roman"/>
          <w:sz w:val="20"/>
          <w:szCs w:val="20"/>
        </w:rPr>
        <w:lastRenderedPageBreak/>
        <w:t>contract terms reduced the Departments’ abil</w:t>
      </w:r>
      <w:r w:rsidR="00472104">
        <w:rPr>
          <w:rFonts w:ascii="Times New Roman" w:hAnsi="Times New Roman" w:cs="Times New Roman"/>
          <w:sz w:val="20"/>
          <w:szCs w:val="20"/>
        </w:rPr>
        <w:t>ity to retain qualified women. However, t</w:t>
      </w:r>
      <w:r w:rsidRPr="00D310EE">
        <w:rPr>
          <w:rFonts w:ascii="Times New Roman" w:hAnsi="Times New Roman" w:cs="Times New Roman"/>
          <w:sz w:val="20"/>
          <w:szCs w:val="20"/>
        </w:rPr>
        <w:t>echnological advances, greater workforce diversity, and the increased complexity of organizations’ mi</w:t>
      </w:r>
      <w:r w:rsidR="00472104">
        <w:rPr>
          <w:rFonts w:ascii="Times New Roman" w:hAnsi="Times New Roman" w:cs="Times New Roman"/>
          <w:sz w:val="20"/>
          <w:szCs w:val="20"/>
        </w:rPr>
        <w:t>ssions are contributing to a</w:t>
      </w:r>
      <w:r w:rsidRPr="00D310EE">
        <w:rPr>
          <w:rFonts w:ascii="Times New Roman" w:hAnsi="Times New Roman" w:cs="Times New Roman"/>
          <w:sz w:val="20"/>
          <w:szCs w:val="20"/>
        </w:rPr>
        <w:t xml:space="preserve"> shift away from traditional management styles that tend to favor men. This macro-level shift may lead to more women moving into peacekeeping leadership positions, if it can be capitalized upon.</w:t>
      </w:r>
    </w:p>
    <w:p w:rsidR="008F5916" w:rsidRDefault="00D310EE" w:rsidP="001F4305">
      <w:pPr>
        <w:spacing w:after="120" w:line="240" w:lineRule="exact"/>
        <w:ind w:left="1267" w:right="1267"/>
        <w:jc w:val="both"/>
        <w:rPr>
          <w:rFonts w:ascii="Times New Roman" w:hAnsi="Times New Roman" w:cs="Times New Roman"/>
          <w:sz w:val="20"/>
          <w:szCs w:val="20"/>
        </w:rPr>
      </w:pPr>
      <w:r>
        <w:rPr>
          <w:rFonts w:ascii="Times New Roman" w:hAnsi="Times New Roman" w:cs="Times New Roman"/>
          <w:sz w:val="20"/>
          <w:szCs w:val="20"/>
        </w:rPr>
        <w:t>In view of this and the unsatisfactory rate of progress</w:t>
      </w:r>
      <w:r w:rsidR="00936D58">
        <w:rPr>
          <w:rFonts w:ascii="Times New Roman" w:hAnsi="Times New Roman" w:cs="Times New Roman"/>
          <w:sz w:val="20"/>
          <w:szCs w:val="20"/>
        </w:rPr>
        <w:t xml:space="preserve"> demonstrated by an overall decrease in the proportion of women, the DPKO and DFS are focusing on increasing the representation of women at the highest levels of leadership and decision-making, both at headquarters and in the field. To increase efforts towards gender parity and strengthen accountability over the selection of women, the Departments established the Bridging the Gender Gap in Peace Operations Action Group</w:t>
      </w:r>
      <w:r w:rsidR="00007B16">
        <w:rPr>
          <w:rFonts w:ascii="Times New Roman" w:hAnsi="Times New Roman" w:cs="Times New Roman"/>
          <w:sz w:val="20"/>
          <w:szCs w:val="20"/>
        </w:rPr>
        <w:t>,</w:t>
      </w:r>
      <w:r w:rsidR="00936D58">
        <w:rPr>
          <w:rFonts w:ascii="Times New Roman" w:hAnsi="Times New Roman" w:cs="Times New Roman"/>
          <w:sz w:val="20"/>
          <w:szCs w:val="20"/>
        </w:rPr>
        <w:t xml:space="preserve"> based on </w:t>
      </w:r>
      <w:r w:rsidR="00007B16">
        <w:rPr>
          <w:rFonts w:ascii="Times New Roman" w:hAnsi="Times New Roman" w:cs="Times New Roman"/>
          <w:sz w:val="20"/>
          <w:szCs w:val="20"/>
        </w:rPr>
        <w:t xml:space="preserve">the </w:t>
      </w:r>
      <w:r w:rsidR="00936D58">
        <w:rPr>
          <w:rFonts w:ascii="Times New Roman" w:hAnsi="Times New Roman" w:cs="Times New Roman"/>
          <w:sz w:val="20"/>
          <w:szCs w:val="20"/>
        </w:rPr>
        <w:t>recommendations from a study conducted by the DPKO/DFS Focal Point for Women. The Group’s tasks will include revi</w:t>
      </w:r>
      <w:r w:rsidR="00007B16">
        <w:rPr>
          <w:rFonts w:ascii="Times New Roman" w:hAnsi="Times New Roman" w:cs="Times New Roman"/>
          <w:sz w:val="20"/>
          <w:szCs w:val="20"/>
        </w:rPr>
        <w:t xml:space="preserve">ewing each step of the outreach, </w:t>
      </w:r>
      <w:proofErr w:type="spellStart"/>
      <w:r w:rsidR="00007B16">
        <w:rPr>
          <w:rFonts w:ascii="Times New Roman" w:hAnsi="Times New Roman" w:cs="Times New Roman"/>
          <w:sz w:val="20"/>
          <w:szCs w:val="20"/>
        </w:rPr>
        <w:t>rostering</w:t>
      </w:r>
      <w:proofErr w:type="spellEnd"/>
      <w:r w:rsidR="00007B16">
        <w:rPr>
          <w:rFonts w:ascii="Times New Roman" w:hAnsi="Times New Roman" w:cs="Times New Roman"/>
          <w:sz w:val="20"/>
          <w:szCs w:val="20"/>
        </w:rPr>
        <w:t>, selection, recruitment and deployment process, with a view to proposing measures to maximize the opportunity for identifying and attracting qualified women in each applicable stage of the process, both at headquarters and in the field.</w:t>
      </w:r>
    </w:p>
    <w:p w:rsidR="00D310EE" w:rsidRPr="00D310EE" w:rsidRDefault="00D310EE" w:rsidP="00D310EE">
      <w:pPr>
        <w:spacing w:after="120" w:line="240" w:lineRule="exact"/>
        <w:ind w:left="1267" w:right="1267"/>
        <w:jc w:val="both"/>
        <w:rPr>
          <w:rFonts w:ascii="Times New Roman" w:hAnsi="Times New Roman" w:cs="Times New Roman"/>
          <w:sz w:val="20"/>
          <w:szCs w:val="20"/>
        </w:rPr>
      </w:pPr>
      <w:r w:rsidRPr="00D310EE">
        <w:rPr>
          <w:rFonts w:ascii="Times New Roman" w:hAnsi="Times New Roman" w:cs="Times New Roman"/>
          <w:bCs/>
          <w:sz w:val="20"/>
          <w:szCs w:val="20"/>
        </w:rPr>
        <w:t xml:space="preserve">The DPKO </w:t>
      </w:r>
      <w:r w:rsidRPr="00D310EE">
        <w:rPr>
          <w:rFonts w:ascii="Times New Roman" w:hAnsi="Times New Roman" w:cs="Times New Roman"/>
          <w:sz w:val="20"/>
          <w:szCs w:val="20"/>
        </w:rPr>
        <w:t xml:space="preserve">is </w:t>
      </w:r>
      <w:r>
        <w:rPr>
          <w:rFonts w:ascii="Times New Roman" w:hAnsi="Times New Roman" w:cs="Times New Roman"/>
          <w:sz w:val="20"/>
          <w:szCs w:val="20"/>
        </w:rPr>
        <w:t xml:space="preserve">also </w:t>
      </w:r>
      <w:r w:rsidRPr="00D310EE">
        <w:rPr>
          <w:rFonts w:ascii="Times New Roman" w:hAnsi="Times New Roman" w:cs="Times New Roman"/>
          <w:sz w:val="20"/>
          <w:szCs w:val="20"/>
        </w:rPr>
        <w:t xml:space="preserve">investing in several organizational change initiatives as part of its commitment to gender balance, especially for the senior decision making levels and to creating a gender-friendly work environment. To address these issues, in August 2011, the DPKO/DFS Senior Management Team established a Respect for Diversity SWAT Team chaired by the Director, Field Personnel Division and including senior staff members from missions and headquarters. The objectives of the team are to: </w:t>
      </w:r>
    </w:p>
    <w:p w:rsidR="00D310EE" w:rsidRPr="00D310EE" w:rsidRDefault="00D310EE" w:rsidP="00D310EE">
      <w:pPr>
        <w:numPr>
          <w:ilvl w:val="0"/>
          <w:numId w:val="1"/>
        </w:numPr>
        <w:spacing w:after="120" w:line="240" w:lineRule="exact"/>
        <w:ind w:left="1627" w:right="1267"/>
        <w:jc w:val="both"/>
        <w:rPr>
          <w:rFonts w:ascii="Times New Roman" w:hAnsi="Times New Roman" w:cs="Times New Roman"/>
          <w:sz w:val="20"/>
          <w:szCs w:val="20"/>
        </w:rPr>
      </w:pPr>
      <w:proofErr w:type="gramStart"/>
      <w:r w:rsidRPr="00D310EE">
        <w:rPr>
          <w:rFonts w:ascii="Times New Roman" w:hAnsi="Times New Roman" w:cs="Times New Roman"/>
          <w:sz w:val="20"/>
          <w:szCs w:val="20"/>
        </w:rPr>
        <w:t>review</w:t>
      </w:r>
      <w:proofErr w:type="gramEnd"/>
      <w:r w:rsidRPr="00D310EE">
        <w:rPr>
          <w:rFonts w:ascii="Times New Roman" w:hAnsi="Times New Roman" w:cs="Times New Roman"/>
          <w:sz w:val="20"/>
          <w:szCs w:val="20"/>
        </w:rPr>
        <w:t xml:space="preserve"> each step in the outreach, selection, recruitment and deployment chain to maximize opportunities for identifying and attracting qualified international and national women;</w:t>
      </w:r>
    </w:p>
    <w:p w:rsidR="00D310EE" w:rsidRPr="00D310EE" w:rsidRDefault="00D310EE" w:rsidP="00D310EE">
      <w:pPr>
        <w:numPr>
          <w:ilvl w:val="0"/>
          <w:numId w:val="1"/>
        </w:numPr>
        <w:spacing w:after="120" w:line="240" w:lineRule="exact"/>
        <w:ind w:left="1627" w:right="1267"/>
        <w:jc w:val="both"/>
        <w:rPr>
          <w:rFonts w:ascii="Times New Roman" w:hAnsi="Times New Roman" w:cs="Times New Roman"/>
          <w:sz w:val="20"/>
          <w:szCs w:val="20"/>
        </w:rPr>
      </w:pPr>
      <w:proofErr w:type="gramStart"/>
      <w:r w:rsidRPr="00D310EE">
        <w:rPr>
          <w:rFonts w:ascii="Times New Roman" w:hAnsi="Times New Roman" w:cs="Times New Roman"/>
          <w:sz w:val="20"/>
          <w:szCs w:val="20"/>
        </w:rPr>
        <w:t>examine</w:t>
      </w:r>
      <w:proofErr w:type="gramEnd"/>
      <w:r w:rsidRPr="00D310EE">
        <w:rPr>
          <w:rFonts w:ascii="Times New Roman" w:hAnsi="Times New Roman" w:cs="Times New Roman"/>
          <w:sz w:val="20"/>
          <w:szCs w:val="20"/>
        </w:rPr>
        <w:t xml:space="preserve"> the possibility of bias in performance appraisals, and to propose remedial measures such as bias awareness training for managers;</w:t>
      </w:r>
    </w:p>
    <w:p w:rsidR="00D310EE" w:rsidRPr="00D310EE" w:rsidRDefault="00D310EE" w:rsidP="00D310EE">
      <w:pPr>
        <w:numPr>
          <w:ilvl w:val="0"/>
          <w:numId w:val="1"/>
        </w:numPr>
        <w:spacing w:after="120" w:line="240" w:lineRule="exact"/>
        <w:ind w:left="1627" w:right="1267"/>
        <w:jc w:val="both"/>
        <w:rPr>
          <w:rFonts w:ascii="Times New Roman" w:hAnsi="Times New Roman" w:cs="Times New Roman"/>
          <w:sz w:val="20"/>
          <w:szCs w:val="20"/>
        </w:rPr>
      </w:pPr>
      <w:proofErr w:type="gramStart"/>
      <w:r w:rsidRPr="00D310EE">
        <w:rPr>
          <w:rFonts w:ascii="Times New Roman" w:hAnsi="Times New Roman" w:cs="Times New Roman"/>
          <w:sz w:val="20"/>
          <w:szCs w:val="20"/>
        </w:rPr>
        <w:t>propose</w:t>
      </w:r>
      <w:proofErr w:type="gramEnd"/>
      <w:r w:rsidRPr="00D310EE">
        <w:rPr>
          <w:rFonts w:ascii="Times New Roman" w:hAnsi="Times New Roman" w:cs="Times New Roman"/>
          <w:sz w:val="20"/>
          <w:szCs w:val="20"/>
        </w:rPr>
        <w:t xml:space="preserve"> measures to improve the welfare of staff, particularly women serving in missions, and work with the Positive Work Environment Task Force to advance the efficient use of FWAs at headquarters;</w:t>
      </w:r>
    </w:p>
    <w:p w:rsidR="00D310EE" w:rsidRPr="00D310EE" w:rsidRDefault="00D310EE" w:rsidP="00D310EE">
      <w:pPr>
        <w:numPr>
          <w:ilvl w:val="0"/>
          <w:numId w:val="1"/>
        </w:numPr>
        <w:spacing w:after="120" w:line="240" w:lineRule="exact"/>
        <w:ind w:left="1627" w:right="1267"/>
        <w:jc w:val="both"/>
        <w:rPr>
          <w:rFonts w:ascii="Times New Roman" w:hAnsi="Times New Roman" w:cs="Times New Roman"/>
          <w:sz w:val="20"/>
          <w:szCs w:val="20"/>
        </w:rPr>
      </w:pPr>
      <w:proofErr w:type="gramStart"/>
      <w:r w:rsidRPr="00D310EE">
        <w:rPr>
          <w:rFonts w:ascii="Times New Roman" w:hAnsi="Times New Roman" w:cs="Times New Roman"/>
          <w:sz w:val="20"/>
          <w:szCs w:val="20"/>
        </w:rPr>
        <w:t>suggest</w:t>
      </w:r>
      <w:proofErr w:type="gramEnd"/>
      <w:r w:rsidRPr="00D310EE">
        <w:rPr>
          <w:rFonts w:ascii="Times New Roman" w:hAnsi="Times New Roman" w:cs="Times New Roman"/>
          <w:sz w:val="20"/>
          <w:szCs w:val="20"/>
        </w:rPr>
        <w:t xml:space="preserve"> the necessary metrics to track situations addressed by the SWAT team; </w:t>
      </w:r>
    </w:p>
    <w:p w:rsidR="00D310EE" w:rsidRPr="00D310EE" w:rsidRDefault="00D310EE" w:rsidP="00D310EE">
      <w:pPr>
        <w:numPr>
          <w:ilvl w:val="0"/>
          <w:numId w:val="1"/>
        </w:numPr>
        <w:spacing w:after="120" w:line="240" w:lineRule="exact"/>
        <w:ind w:left="1627" w:right="1267"/>
        <w:jc w:val="both"/>
        <w:rPr>
          <w:rFonts w:ascii="Times New Roman" w:hAnsi="Times New Roman" w:cs="Times New Roman"/>
          <w:sz w:val="20"/>
          <w:szCs w:val="20"/>
        </w:rPr>
      </w:pPr>
      <w:proofErr w:type="gramStart"/>
      <w:r w:rsidRPr="00D310EE">
        <w:rPr>
          <w:rFonts w:ascii="Times New Roman" w:hAnsi="Times New Roman" w:cs="Times New Roman"/>
          <w:sz w:val="20"/>
          <w:szCs w:val="20"/>
        </w:rPr>
        <w:t>measure</w:t>
      </w:r>
      <w:proofErr w:type="gramEnd"/>
      <w:r w:rsidRPr="00D310EE">
        <w:rPr>
          <w:rFonts w:ascii="Times New Roman" w:hAnsi="Times New Roman" w:cs="Times New Roman"/>
          <w:sz w:val="20"/>
          <w:szCs w:val="20"/>
        </w:rPr>
        <w:t xml:space="preserve"> progress towards improved gender diversity in the field and at headquarters, in all sectors, levels and missions.</w:t>
      </w:r>
    </w:p>
    <w:sectPr w:rsidR="00D310EE" w:rsidRPr="00D310EE" w:rsidSect="006A78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10" w:rsidRDefault="00640E10" w:rsidP="003E730B">
      <w:pPr>
        <w:spacing w:after="0" w:line="240" w:lineRule="auto"/>
      </w:pPr>
      <w:r>
        <w:separator/>
      </w:r>
    </w:p>
  </w:endnote>
  <w:endnote w:type="continuationSeparator" w:id="0">
    <w:p w:rsidR="00640E10" w:rsidRDefault="00640E10" w:rsidP="003E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61" w:rsidRDefault="00FB0F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90025"/>
      <w:docPartObj>
        <w:docPartGallery w:val="Page Numbers (Bottom of Page)"/>
        <w:docPartUnique/>
      </w:docPartObj>
    </w:sdtPr>
    <w:sdtEndPr>
      <w:rPr>
        <w:noProof/>
      </w:rPr>
    </w:sdtEndPr>
    <w:sdtContent>
      <w:p w:rsidR="00FB0F61" w:rsidRDefault="00FB0F61">
        <w:pPr>
          <w:pStyle w:val="Footer"/>
        </w:pPr>
        <w:r>
          <w:fldChar w:fldCharType="begin"/>
        </w:r>
        <w:r>
          <w:instrText xml:space="preserve"> PAGE   \* MERGEFORMAT </w:instrText>
        </w:r>
        <w:r>
          <w:fldChar w:fldCharType="separate"/>
        </w:r>
        <w:r w:rsidR="007D69A2">
          <w:rPr>
            <w:noProof/>
          </w:rPr>
          <w:t>1</w:t>
        </w:r>
        <w:r>
          <w:rPr>
            <w:noProof/>
          </w:rPr>
          <w:fldChar w:fldCharType="end"/>
        </w:r>
      </w:p>
    </w:sdtContent>
  </w:sdt>
  <w:p w:rsidR="00FB0F61" w:rsidRDefault="00FB0F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61" w:rsidRDefault="00FB0F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10" w:rsidRDefault="00640E10" w:rsidP="003E730B">
      <w:pPr>
        <w:spacing w:after="0" w:line="240" w:lineRule="auto"/>
      </w:pPr>
      <w:r>
        <w:separator/>
      </w:r>
    </w:p>
  </w:footnote>
  <w:footnote w:type="continuationSeparator" w:id="0">
    <w:p w:rsidR="00640E10" w:rsidRDefault="00640E10" w:rsidP="003E730B">
      <w:pPr>
        <w:spacing w:after="0" w:line="240" w:lineRule="auto"/>
      </w:pPr>
      <w:r>
        <w:continuationSeparator/>
      </w:r>
    </w:p>
  </w:footnote>
  <w:footnote w:id="1">
    <w:p w:rsidR="004178FA" w:rsidRPr="00DE3A50" w:rsidRDefault="004178FA">
      <w:pPr>
        <w:pStyle w:val="FootnoteText"/>
        <w:rPr>
          <w:rFonts w:ascii="Times New Roman" w:hAnsi="Times New Roman" w:cs="Times New Roman"/>
          <w:sz w:val="17"/>
          <w:szCs w:val="17"/>
        </w:rPr>
      </w:pPr>
      <w:r w:rsidRPr="00DE3A50">
        <w:rPr>
          <w:rStyle w:val="FootnoteReference"/>
          <w:rFonts w:ascii="Times New Roman" w:hAnsi="Times New Roman" w:cs="Times New Roman"/>
          <w:sz w:val="17"/>
          <w:szCs w:val="17"/>
        </w:rPr>
        <w:footnoteRef/>
      </w:r>
      <w:r w:rsidRPr="00DE3A50">
        <w:rPr>
          <w:rFonts w:ascii="Times New Roman" w:hAnsi="Times New Roman" w:cs="Times New Roman"/>
          <w:sz w:val="17"/>
          <w:szCs w:val="17"/>
        </w:rPr>
        <w:t xml:space="preserve"> This data is based on contracts of one year or more</w:t>
      </w:r>
      <w:r>
        <w:rPr>
          <w:rFonts w:ascii="Times New Roman" w:hAnsi="Times New Roman" w:cs="Times New Roman"/>
          <w:sz w:val="17"/>
          <w:szCs w:val="17"/>
        </w:rPr>
        <w:t xml:space="preserve"> and includes special political missions</w:t>
      </w:r>
    </w:p>
  </w:footnote>
  <w:footnote w:id="2">
    <w:p w:rsidR="004178FA" w:rsidRPr="00F63995" w:rsidRDefault="004178FA">
      <w:pPr>
        <w:pStyle w:val="FootnoteText"/>
        <w:rPr>
          <w:rFonts w:ascii="Times New Roman" w:hAnsi="Times New Roman"/>
          <w:sz w:val="17"/>
        </w:rPr>
      </w:pPr>
      <w:r>
        <w:rPr>
          <w:rStyle w:val="FootnoteReference"/>
        </w:rPr>
        <w:footnoteRef/>
      </w:r>
      <w:r>
        <w:t xml:space="preserve"> </w:t>
      </w:r>
      <w:r>
        <w:rPr>
          <w:rFonts w:ascii="Times New Roman" w:hAnsi="Times New Roman"/>
          <w:sz w:val="17"/>
        </w:rPr>
        <w:t xml:space="preserve">The United Nations Stabilization Mission in Haiti (MINUSTAH); the United Nations Interim Force in Lebanon (UNIFIL); the United Nations Assistance Mission in Afghanistan (UNAMA); the United Nations Mission for Iraq (UNAMI); the United Nations Integrated </w:t>
      </w:r>
      <w:proofErr w:type="spellStart"/>
      <w:r>
        <w:rPr>
          <w:rFonts w:ascii="Times New Roman" w:hAnsi="Times New Roman"/>
          <w:sz w:val="17"/>
        </w:rPr>
        <w:t>Peacebuilding</w:t>
      </w:r>
      <w:proofErr w:type="spellEnd"/>
      <w:r>
        <w:rPr>
          <w:rFonts w:ascii="Times New Roman" w:hAnsi="Times New Roman"/>
          <w:sz w:val="17"/>
        </w:rPr>
        <w:t xml:space="preserve"> Office in Guinea-Bissau (UNIOGBIS); the United Nations Mission in Liberia (UNMIL); the United Nations Mission in the Republic of South Sudan (UNMISS); the United Nations Integrated Mission in Timor-Leste (UNMIT); the United Nations Political Office in Somalia (UNPOS); the United Nations Support Mission in Libya (UNSMIL).</w:t>
      </w:r>
    </w:p>
  </w:footnote>
  <w:footnote w:id="3">
    <w:p w:rsidR="004178FA" w:rsidRPr="00BC3FA6" w:rsidRDefault="004178FA">
      <w:pPr>
        <w:pStyle w:val="FootnoteText"/>
        <w:rPr>
          <w:rFonts w:ascii="Times New Roman" w:hAnsi="Times New Roman"/>
          <w:sz w:val="17"/>
        </w:rPr>
      </w:pPr>
      <w:r>
        <w:rPr>
          <w:rStyle w:val="FootnoteReference"/>
        </w:rPr>
        <w:footnoteRef/>
      </w:r>
      <w:r>
        <w:t xml:space="preserve"> </w:t>
      </w:r>
      <w:r>
        <w:rPr>
          <w:rFonts w:ascii="Times New Roman" w:hAnsi="Times New Roman"/>
          <w:sz w:val="17"/>
        </w:rPr>
        <w:t xml:space="preserve">The Global Service Centre – UN Logistics Base at </w:t>
      </w:r>
      <w:proofErr w:type="spellStart"/>
      <w:r>
        <w:rPr>
          <w:rFonts w:ascii="Times New Roman" w:hAnsi="Times New Roman"/>
          <w:sz w:val="17"/>
        </w:rPr>
        <w:t>Brindisi</w:t>
      </w:r>
      <w:proofErr w:type="spellEnd"/>
      <w:r>
        <w:rPr>
          <w:rFonts w:ascii="Times New Roman" w:hAnsi="Times New Roman"/>
          <w:sz w:val="17"/>
        </w:rPr>
        <w:t xml:space="preserve">, Italy (GSC-UNLB); the United Nations Integrated </w:t>
      </w:r>
      <w:proofErr w:type="spellStart"/>
      <w:r>
        <w:rPr>
          <w:rFonts w:ascii="Times New Roman" w:hAnsi="Times New Roman"/>
          <w:sz w:val="17"/>
        </w:rPr>
        <w:t>Peacebuilding</w:t>
      </w:r>
      <w:proofErr w:type="spellEnd"/>
      <w:r>
        <w:rPr>
          <w:rFonts w:ascii="Times New Roman" w:hAnsi="Times New Roman"/>
          <w:sz w:val="17"/>
        </w:rPr>
        <w:t xml:space="preserve"> Office in the Central African Republic (BINUCA); the United Nations Office in Burundi (BNUB); the United Nations Mission for the Referendum in Western Sahara (MINURSO); the United Nations Stabilization Mission in the Democratic Republic of Congo (MONUSCO); the United Nations Operation in Cote d’Ivoire (ONUCI); the African Union United Nations Hybrid Operation in Darfur (UNAMID); the United Nations Integrated </w:t>
      </w:r>
      <w:proofErr w:type="spellStart"/>
      <w:r>
        <w:rPr>
          <w:rFonts w:ascii="Times New Roman" w:hAnsi="Times New Roman"/>
          <w:sz w:val="17"/>
        </w:rPr>
        <w:t>Peacebuilding</w:t>
      </w:r>
      <w:proofErr w:type="spellEnd"/>
      <w:r>
        <w:rPr>
          <w:rFonts w:ascii="Times New Roman" w:hAnsi="Times New Roman"/>
          <w:sz w:val="17"/>
        </w:rPr>
        <w:t xml:space="preserve"> Office in Sierra Leone (UNIPSIL); the United Nations Administration Mission in Kosovo (UNMIK); the United Nations Office to the African Union (UNOAU); the United Nations Support Office for AMISOM (UNSOA).</w:t>
      </w:r>
    </w:p>
  </w:footnote>
  <w:footnote w:id="4">
    <w:p w:rsidR="004178FA" w:rsidRPr="00CA786F" w:rsidRDefault="004178FA" w:rsidP="00EB0534">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BINUCA, BNUB, UNFICYP, UNMIL, UNMISS and UNMIT.</w:t>
      </w:r>
    </w:p>
  </w:footnote>
  <w:footnote w:id="5">
    <w:p w:rsidR="004178FA" w:rsidRPr="00CA786F" w:rsidRDefault="004178FA" w:rsidP="00EB0534">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BNUB, MONUSCO, UNAMI, UNAMID and UNMISS.</w:t>
      </w:r>
    </w:p>
  </w:footnote>
  <w:footnote w:id="6">
    <w:p w:rsidR="004178FA" w:rsidRDefault="004178FA" w:rsidP="00EB0534">
      <w:pPr>
        <w:pStyle w:val="FootnoteText"/>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MINUSTAH, MONUSCO, ONUCI, UNAMA, UNAMID, UNIFIL, UNMIL, UNMISS and UNMIT.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61" w:rsidRDefault="00FB0F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FA" w:rsidRPr="00506E14" w:rsidRDefault="004178FA">
    <w:pPr>
      <w:pStyle w:val="Header"/>
      <w:rPr>
        <w:rFonts w:ascii="Times New Roman" w:hAnsi="Times New Roman"/>
        <w:b/>
        <w:sz w:val="24"/>
      </w:rPr>
    </w:pPr>
    <w:r w:rsidRPr="00506E14">
      <w:rPr>
        <w:rFonts w:ascii="Times New Roman" w:hAnsi="Times New Roman"/>
        <w:b/>
        <w:sz w:val="24"/>
      </w:rPr>
      <w:t>Web Annex X</w:t>
    </w:r>
    <w:r>
      <w:rPr>
        <w:rFonts w:ascii="Times New Roman" w:hAnsi="Times New Roman"/>
        <w:b/>
        <w:sz w:val="24"/>
      </w:rPr>
      <w:t>VII</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61" w:rsidRDefault="00FB0F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EFB"/>
    <w:multiLevelType w:val="hybridMultilevel"/>
    <w:tmpl w:val="60866604"/>
    <w:lvl w:ilvl="0" w:tplc="F6A22E22">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0B"/>
    <w:rsid w:val="00007B16"/>
    <w:rsid w:val="00047594"/>
    <w:rsid w:val="0009444B"/>
    <w:rsid w:val="000C758C"/>
    <w:rsid w:val="000D477E"/>
    <w:rsid w:val="00136C0C"/>
    <w:rsid w:val="001D6E42"/>
    <w:rsid w:val="001F4305"/>
    <w:rsid w:val="0039578B"/>
    <w:rsid w:val="003E730B"/>
    <w:rsid w:val="004178FA"/>
    <w:rsid w:val="00472104"/>
    <w:rsid w:val="00473A17"/>
    <w:rsid w:val="00482305"/>
    <w:rsid w:val="004974B9"/>
    <w:rsid w:val="004C370E"/>
    <w:rsid w:val="00506E14"/>
    <w:rsid w:val="00526B01"/>
    <w:rsid w:val="005F3090"/>
    <w:rsid w:val="00640E10"/>
    <w:rsid w:val="006539B3"/>
    <w:rsid w:val="006554C5"/>
    <w:rsid w:val="00676858"/>
    <w:rsid w:val="006962EF"/>
    <w:rsid w:val="006A7800"/>
    <w:rsid w:val="006B31DA"/>
    <w:rsid w:val="0071470C"/>
    <w:rsid w:val="007D69A2"/>
    <w:rsid w:val="00825340"/>
    <w:rsid w:val="00825D4C"/>
    <w:rsid w:val="008470A0"/>
    <w:rsid w:val="00850700"/>
    <w:rsid w:val="0088171F"/>
    <w:rsid w:val="008C689B"/>
    <w:rsid w:val="008D5E17"/>
    <w:rsid w:val="008F5916"/>
    <w:rsid w:val="00936D58"/>
    <w:rsid w:val="00937214"/>
    <w:rsid w:val="009755AE"/>
    <w:rsid w:val="009D06AB"/>
    <w:rsid w:val="009E5254"/>
    <w:rsid w:val="00A53F04"/>
    <w:rsid w:val="00A76F02"/>
    <w:rsid w:val="00A92FAB"/>
    <w:rsid w:val="00AA0484"/>
    <w:rsid w:val="00AB08F8"/>
    <w:rsid w:val="00B3111C"/>
    <w:rsid w:val="00B42C09"/>
    <w:rsid w:val="00B44973"/>
    <w:rsid w:val="00BC3FA6"/>
    <w:rsid w:val="00BF2790"/>
    <w:rsid w:val="00BF4DA3"/>
    <w:rsid w:val="00C22B72"/>
    <w:rsid w:val="00C965D8"/>
    <w:rsid w:val="00CA3B1A"/>
    <w:rsid w:val="00D06F07"/>
    <w:rsid w:val="00D1435C"/>
    <w:rsid w:val="00D22ABF"/>
    <w:rsid w:val="00D310EE"/>
    <w:rsid w:val="00D95FD2"/>
    <w:rsid w:val="00DC3FEB"/>
    <w:rsid w:val="00DE3A50"/>
    <w:rsid w:val="00E0040B"/>
    <w:rsid w:val="00E41502"/>
    <w:rsid w:val="00EB0534"/>
    <w:rsid w:val="00F15D5A"/>
    <w:rsid w:val="00F63995"/>
    <w:rsid w:val="00F85E1B"/>
    <w:rsid w:val="00F873DE"/>
    <w:rsid w:val="00FA513F"/>
    <w:rsid w:val="00FB0F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730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65404"/>
    <w:rPr>
      <w:rFonts w:ascii="Lucida Grande" w:hAnsi="Lucida Grande" w:cs="Lucida Grande"/>
      <w:sz w:val="18"/>
      <w:szCs w:val="18"/>
    </w:rPr>
  </w:style>
  <w:style w:type="paragraph" w:styleId="FootnoteText">
    <w:name w:val="footnote text"/>
    <w:basedOn w:val="Normal"/>
    <w:link w:val="FootnoteTextChar"/>
    <w:uiPriority w:val="99"/>
    <w:unhideWhenUsed/>
    <w:rsid w:val="003E730B"/>
    <w:pPr>
      <w:spacing w:after="0" w:line="240" w:lineRule="auto"/>
    </w:pPr>
    <w:rPr>
      <w:sz w:val="20"/>
      <w:szCs w:val="20"/>
    </w:rPr>
  </w:style>
  <w:style w:type="character" w:customStyle="1" w:styleId="FootnoteTextChar">
    <w:name w:val="Footnote Text Char"/>
    <w:basedOn w:val="DefaultParagraphFont"/>
    <w:link w:val="FootnoteText"/>
    <w:uiPriority w:val="99"/>
    <w:rsid w:val="003E730B"/>
    <w:rPr>
      <w:sz w:val="20"/>
      <w:szCs w:val="20"/>
    </w:rPr>
  </w:style>
  <w:style w:type="character" w:styleId="FootnoteReference">
    <w:name w:val="footnote reference"/>
    <w:basedOn w:val="DefaultParagraphFont"/>
    <w:uiPriority w:val="99"/>
    <w:unhideWhenUsed/>
    <w:rsid w:val="003E730B"/>
    <w:rPr>
      <w:vertAlign w:val="superscript"/>
    </w:rPr>
  </w:style>
  <w:style w:type="character" w:customStyle="1" w:styleId="BalloonTextChar1">
    <w:name w:val="Balloon Text Char1"/>
    <w:basedOn w:val="DefaultParagraphFont"/>
    <w:link w:val="BalloonText"/>
    <w:uiPriority w:val="99"/>
    <w:semiHidden/>
    <w:rsid w:val="003E730B"/>
    <w:rPr>
      <w:rFonts w:ascii="Tahoma" w:hAnsi="Tahoma" w:cs="Tahoma"/>
      <w:sz w:val="16"/>
      <w:szCs w:val="16"/>
    </w:rPr>
  </w:style>
  <w:style w:type="paragraph" w:styleId="Header">
    <w:name w:val="header"/>
    <w:basedOn w:val="Normal"/>
    <w:link w:val="HeaderChar"/>
    <w:uiPriority w:val="99"/>
    <w:unhideWhenUsed/>
    <w:rsid w:val="00506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6E14"/>
  </w:style>
  <w:style w:type="paragraph" w:styleId="Footer">
    <w:name w:val="footer"/>
    <w:basedOn w:val="Normal"/>
    <w:link w:val="FooterChar"/>
    <w:uiPriority w:val="99"/>
    <w:unhideWhenUsed/>
    <w:rsid w:val="00506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6E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730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65404"/>
    <w:rPr>
      <w:rFonts w:ascii="Lucida Grande" w:hAnsi="Lucida Grande" w:cs="Lucida Grande"/>
      <w:sz w:val="18"/>
      <w:szCs w:val="18"/>
    </w:rPr>
  </w:style>
  <w:style w:type="paragraph" w:styleId="FootnoteText">
    <w:name w:val="footnote text"/>
    <w:basedOn w:val="Normal"/>
    <w:link w:val="FootnoteTextChar"/>
    <w:uiPriority w:val="99"/>
    <w:unhideWhenUsed/>
    <w:rsid w:val="003E730B"/>
    <w:pPr>
      <w:spacing w:after="0" w:line="240" w:lineRule="auto"/>
    </w:pPr>
    <w:rPr>
      <w:sz w:val="20"/>
      <w:szCs w:val="20"/>
    </w:rPr>
  </w:style>
  <w:style w:type="character" w:customStyle="1" w:styleId="FootnoteTextChar">
    <w:name w:val="Footnote Text Char"/>
    <w:basedOn w:val="DefaultParagraphFont"/>
    <w:link w:val="FootnoteText"/>
    <w:uiPriority w:val="99"/>
    <w:rsid w:val="003E730B"/>
    <w:rPr>
      <w:sz w:val="20"/>
      <w:szCs w:val="20"/>
    </w:rPr>
  </w:style>
  <w:style w:type="character" w:styleId="FootnoteReference">
    <w:name w:val="footnote reference"/>
    <w:basedOn w:val="DefaultParagraphFont"/>
    <w:uiPriority w:val="99"/>
    <w:unhideWhenUsed/>
    <w:rsid w:val="003E730B"/>
    <w:rPr>
      <w:vertAlign w:val="superscript"/>
    </w:rPr>
  </w:style>
  <w:style w:type="character" w:customStyle="1" w:styleId="BalloonTextChar1">
    <w:name w:val="Balloon Text Char1"/>
    <w:basedOn w:val="DefaultParagraphFont"/>
    <w:link w:val="BalloonText"/>
    <w:uiPriority w:val="99"/>
    <w:semiHidden/>
    <w:rsid w:val="003E730B"/>
    <w:rPr>
      <w:rFonts w:ascii="Tahoma" w:hAnsi="Tahoma" w:cs="Tahoma"/>
      <w:sz w:val="16"/>
      <w:szCs w:val="16"/>
    </w:rPr>
  </w:style>
  <w:style w:type="paragraph" w:styleId="Header">
    <w:name w:val="header"/>
    <w:basedOn w:val="Normal"/>
    <w:link w:val="HeaderChar"/>
    <w:uiPriority w:val="99"/>
    <w:unhideWhenUsed/>
    <w:rsid w:val="00506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6E14"/>
  </w:style>
  <w:style w:type="paragraph" w:styleId="Footer">
    <w:name w:val="footer"/>
    <w:basedOn w:val="Normal"/>
    <w:link w:val="FooterChar"/>
    <w:uiPriority w:val="99"/>
    <w:unhideWhenUsed/>
    <w:rsid w:val="00506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Sheet1!$A$2</c:f>
              <c:strCache>
                <c:ptCount val="1"/>
                <c:pt idx="0">
                  <c:v>2011</c:v>
                </c:pt>
              </c:strCache>
            </c:strRef>
          </c:tx>
          <c:spPr>
            <a:ln>
              <a:solidFill>
                <a:sysClr val="windowText" lastClr="000000"/>
              </a:solidFill>
            </a:ln>
          </c:spPr>
          <c:invertIfNegative val="0"/>
          <c:cat>
            <c:strRef>
              <c:f>Sheet1!$B$1:$E$1</c:f>
              <c:strCache>
                <c:ptCount val="4"/>
                <c:pt idx="0">
                  <c:v>USG</c:v>
                </c:pt>
                <c:pt idx="1">
                  <c:v>ASG</c:v>
                </c:pt>
                <c:pt idx="2">
                  <c:v>D-2</c:v>
                </c:pt>
                <c:pt idx="3">
                  <c:v>D-1</c:v>
                </c:pt>
              </c:strCache>
            </c:strRef>
          </c:cat>
          <c:val>
            <c:numRef>
              <c:f>Sheet1!$B$2:$E$2</c:f>
              <c:numCache>
                <c:formatCode>General</c:formatCode>
                <c:ptCount val="4"/>
                <c:pt idx="0">
                  <c:v>21.4</c:v>
                </c:pt>
                <c:pt idx="1">
                  <c:v>16.6</c:v>
                </c:pt>
                <c:pt idx="2">
                  <c:v>4.4</c:v>
                </c:pt>
                <c:pt idx="3">
                  <c:v>22.2</c:v>
                </c:pt>
              </c:numCache>
            </c:numRef>
          </c:val>
        </c:ser>
        <c:ser>
          <c:idx val="1"/>
          <c:order val="1"/>
          <c:tx>
            <c:strRef>
              <c:f>Sheet1!$A$3</c:f>
              <c:strCache>
                <c:ptCount val="1"/>
                <c:pt idx="0">
                  <c:v>2009</c:v>
                </c:pt>
              </c:strCache>
            </c:strRef>
          </c:tx>
          <c:spPr>
            <a:ln>
              <a:solidFill>
                <a:sysClr val="windowText" lastClr="000000"/>
              </a:solidFill>
            </a:ln>
          </c:spPr>
          <c:invertIfNegative val="0"/>
          <c:cat>
            <c:strRef>
              <c:f>Sheet1!$B$1:$E$1</c:f>
              <c:strCache>
                <c:ptCount val="4"/>
                <c:pt idx="0">
                  <c:v>USG</c:v>
                </c:pt>
                <c:pt idx="1">
                  <c:v>ASG</c:v>
                </c:pt>
                <c:pt idx="2">
                  <c:v>D-2</c:v>
                </c:pt>
                <c:pt idx="3">
                  <c:v>D-1</c:v>
                </c:pt>
              </c:strCache>
            </c:strRef>
          </c:cat>
          <c:val>
            <c:numRef>
              <c:f>Sheet1!$B$3:$E$3</c:f>
              <c:numCache>
                <c:formatCode>General</c:formatCode>
                <c:ptCount val="4"/>
                <c:pt idx="0">
                  <c:v>7.1</c:v>
                </c:pt>
                <c:pt idx="1">
                  <c:v>26.7</c:v>
                </c:pt>
                <c:pt idx="2">
                  <c:v>10.8</c:v>
                </c:pt>
                <c:pt idx="3">
                  <c:v>14.8</c:v>
                </c:pt>
              </c:numCache>
            </c:numRef>
          </c:val>
        </c:ser>
        <c:dLbls>
          <c:showLegendKey val="0"/>
          <c:showVal val="1"/>
          <c:showCatName val="0"/>
          <c:showSerName val="0"/>
          <c:showPercent val="0"/>
          <c:showBubbleSize val="0"/>
        </c:dLbls>
        <c:gapWidth val="150"/>
        <c:axId val="52731784"/>
        <c:axId val="52737256"/>
      </c:barChart>
      <c:catAx>
        <c:axId val="52731784"/>
        <c:scaling>
          <c:orientation val="minMax"/>
        </c:scaling>
        <c:delete val="0"/>
        <c:axPos val="l"/>
        <c:title>
          <c:tx>
            <c:rich>
              <a:bodyPr/>
              <a:lstStyle/>
              <a:p>
                <a:pPr>
                  <a:defRPr/>
                </a:pPr>
                <a:r>
                  <a:rPr lang="en-US"/>
                  <a:t>Level</a:t>
                </a:r>
              </a:p>
            </c:rich>
          </c:tx>
          <c:layout/>
          <c:overlay val="0"/>
        </c:title>
        <c:majorTickMark val="out"/>
        <c:minorTickMark val="none"/>
        <c:tickLblPos val="nextTo"/>
        <c:crossAx val="52737256"/>
        <c:crosses val="autoZero"/>
        <c:auto val="1"/>
        <c:lblAlgn val="ctr"/>
        <c:lblOffset val="100"/>
        <c:noMultiLvlLbl val="0"/>
      </c:catAx>
      <c:valAx>
        <c:axId val="52737256"/>
        <c:scaling>
          <c:orientation val="minMax"/>
        </c:scaling>
        <c:delete val="0"/>
        <c:axPos val="b"/>
        <c:majorGridlines/>
        <c:title>
          <c:tx>
            <c:rich>
              <a:bodyPr/>
              <a:lstStyle/>
              <a:p>
                <a:pPr>
                  <a:defRPr/>
                </a:pPr>
                <a:r>
                  <a:rPr lang="en-US"/>
                  <a:t>Percentage</a:t>
                </a:r>
              </a:p>
            </c:rich>
          </c:tx>
          <c:layout/>
          <c:overlay val="0"/>
        </c:title>
        <c:numFmt formatCode="General" sourceLinked="1"/>
        <c:majorTickMark val="out"/>
        <c:minorTickMark val="none"/>
        <c:tickLblPos val="nextTo"/>
        <c:crossAx val="52731784"/>
        <c:crosses val="autoZero"/>
        <c:crossBetween val="between"/>
      </c:valAx>
    </c:plotArea>
    <c:legend>
      <c:legendPos val="r"/>
      <c:layout>
        <c:manualLayout>
          <c:xMode val="edge"/>
          <c:yMode val="edge"/>
          <c:x val="0.82878937007874"/>
          <c:y val="0.0249711449112339"/>
          <c:w val="0.157321741032371"/>
          <c:h val="0.217138455519147"/>
        </c:manualLayout>
      </c:layout>
      <c:overlay val="0"/>
      <c:txPr>
        <a:bodyPr/>
        <a:lstStyle/>
        <a:p>
          <a:pPr>
            <a:defRPr sz="1200"/>
          </a:pPr>
          <a:endParaRPr lang="en-US"/>
        </a:p>
      </c:txPr>
    </c:legend>
    <c:plotVisOnly val="1"/>
    <c:dispBlanksAs val="gap"/>
    <c:showDLblsOverMax val="0"/>
  </c:chart>
  <c:spPr>
    <a:ln w="19050">
      <a:solidFill>
        <a:schemeClr val="tx1">
          <a:lumMod val="50000"/>
          <a:lumOff val="50000"/>
        </a:schemeClr>
      </a:solidFill>
    </a:ln>
  </c:spPr>
  <c:txPr>
    <a:bodyPr/>
    <a:lstStyle/>
    <a:p>
      <a:pPr>
        <a:defRPr>
          <a:latin typeface="Times New Roman"/>
          <a:cs typeface="Times New Roma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Sheet1!$A$8</c:f>
              <c:strCache>
                <c:ptCount val="1"/>
                <c:pt idx="0">
                  <c:v>DPKO</c:v>
                </c:pt>
              </c:strCache>
            </c:strRef>
          </c:tx>
          <c:invertIfNegative val="0"/>
          <c:cat>
            <c:strRef>
              <c:f>Sheet1!$B$7:$G$7</c:f>
              <c:strCache>
                <c:ptCount val="6"/>
                <c:pt idx="0">
                  <c:v>P-2</c:v>
                </c:pt>
                <c:pt idx="1">
                  <c:v>P-3</c:v>
                </c:pt>
                <c:pt idx="2">
                  <c:v>P-4</c:v>
                </c:pt>
                <c:pt idx="3">
                  <c:v>P-5</c:v>
                </c:pt>
                <c:pt idx="4">
                  <c:v>D-1</c:v>
                </c:pt>
                <c:pt idx="5">
                  <c:v>D-2</c:v>
                </c:pt>
              </c:strCache>
            </c:strRef>
          </c:cat>
          <c:val>
            <c:numRef>
              <c:f>Sheet1!$B$8:$G$8</c:f>
              <c:numCache>
                <c:formatCode>General</c:formatCode>
                <c:ptCount val="6"/>
                <c:pt idx="0">
                  <c:v>-7.7</c:v>
                </c:pt>
                <c:pt idx="1">
                  <c:v>-10.0</c:v>
                </c:pt>
                <c:pt idx="2">
                  <c:v>2.0</c:v>
                </c:pt>
                <c:pt idx="3">
                  <c:v>4.7</c:v>
                </c:pt>
                <c:pt idx="4">
                  <c:v>-16.4</c:v>
                </c:pt>
                <c:pt idx="5">
                  <c:v>29.2</c:v>
                </c:pt>
              </c:numCache>
            </c:numRef>
          </c:val>
        </c:ser>
        <c:ser>
          <c:idx val="1"/>
          <c:order val="1"/>
          <c:tx>
            <c:strRef>
              <c:f>Sheet1!$A$9</c:f>
              <c:strCache>
                <c:ptCount val="1"/>
                <c:pt idx="0">
                  <c:v>DFS</c:v>
                </c:pt>
              </c:strCache>
            </c:strRef>
          </c:tx>
          <c:invertIfNegative val="0"/>
          <c:cat>
            <c:strRef>
              <c:f>Sheet1!$B$7:$G$7</c:f>
              <c:strCache>
                <c:ptCount val="6"/>
                <c:pt idx="0">
                  <c:v>P-2</c:v>
                </c:pt>
                <c:pt idx="1">
                  <c:v>P-3</c:v>
                </c:pt>
                <c:pt idx="2">
                  <c:v>P-4</c:v>
                </c:pt>
                <c:pt idx="3">
                  <c:v>P-5</c:v>
                </c:pt>
                <c:pt idx="4">
                  <c:v>D-1</c:v>
                </c:pt>
                <c:pt idx="5">
                  <c:v>D-2</c:v>
                </c:pt>
              </c:strCache>
            </c:strRef>
          </c:cat>
          <c:val>
            <c:numRef>
              <c:f>Sheet1!$B$9:$G$9</c:f>
              <c:numCache>
                <c:formatCode>General</c:formatCode>
                <c:ptCount val="6"/>
                <c:pt idx="0">
                  <c:v>10.3</c:v>
                </c:pt>
                <c:pt idx="1">
                  <c:v>4.7</c:v>
                </c:pt>
                <c:pt idx="2">
                  <c:v>-5.6</c:v>
                </c:pt>
                <c:pt idx="3">
                  <c:v>18.1</c:v>
                </c:pt>
                <c:pt idx="4">
                  <c:v>-17.9</c:v>
                </c:pt>
              </c:numCache>
            </c:numRef>
          </c:val>
        </c:ser>
        <c:dLbls>
          <c:showLegendKey val="0"/>
          <c:showVal val="1"/>
          <c:showCatName val="0"/>
          <c:showSerName val="0"/>
          <c:showPercent val="0"/>
          <c:showBubbleSize val="0"/>
        </c:dLbls>
        <c:gapWidth val="150"/>
        <c:axId val="2599320"/>
        <c:axId val="2604824"/>
      </c:barChart>
      <c:catAx>
        <c:axId val="2599320"/>
        <c:scaling>
          <c:orientation val="minMax"/>
        </c:scaling>
        <c:delete val="0"/>
        <c:axPos val="b"/>
        <c:title>
          <c:tx>
            <c:rich>
              <a:bodyPr/>
              <a:lstStyle/>
              <a:p>
                <a:pPr>
                  <a:defRPr/>
                </a:pPr>
                <a:r>
                  <a:rPr lang="en-US"/>
                  <a:t>Levels</a:t>
                </a:r>
              </a:p>
            </c:rich>
          </c:tx>
          <c:overlay val="0"/>
        </c:title>
        <c:majorTickMark val="out"/>
        <c:minorTickMark val="none"/>
        <c:tickLblPos val="nextTo"/>
        <c:txPr>
          <a:bodyPr/>
          <a:lstStyle/>
          <a:p>
            <a:pPr>
              <a:defRPr b="1"/>
            </a:pPr>
            <a:endParaRPr lang="en-US"/>
          </a:p>
        </c:txPr>
        <c:crossAx val="2604824"/>
        <c:crosses val="autoZero"/>
        <c:auto val="1"/>
        <c:lblAlgn val="ctr"/>
        <c:lblOffset val="100"/>
        <c:noMultiLvlLbl val="0"/>
      </c:catAx>
      <c:valAx>
        <c:axId val="2604824"/>
        <c:scaling>
          <c:orientation val="minMax"/>
        </c:scaling>
        <c:delete val="0"/>
        <c:axPos val="l"/>
        <c:majorGridlines/>
        <c:title>
          <c:tx>
            <c:rich>
              <a:bodyPr/>
              <a:lstStyle/>
              <a:p>
                <a:pPr>
                  <a:defRPr/>
                </a:pPr>
                <a:r>
                  <a:rPr lang="en-US"/>
                  <a:t>Percentage change between 2009 adn 2011</a:t>
                </a:r>
              </a:p>
            </c:rich>
          </c:tx>
          <c:overlay val="0"/>
        </c:title>
        <c:numFmt formatCode="General" sourceLinked="1"/>
        <c:majorTickMark val="out"/>
        <c:minorTickMark val="none"/>
        <c:tickLblPos val="nextTo"/>
        <c:crossAx val="2599320"/>
        <c:crosses val="autoZero"/>
        <c:crossBetween val="between"/>
      </c:valAx>
    </c:plotArea>
    <c:legend>
      <c:legendPos val="r"/>
      <c:overlay val="0"/>
    </c:legend>
    <c:plotVisOnly val="1"/>
    <c:dispBlanksAs val="gap"/>
    <c:showDLblsOverMax val="0"/>
  </c:chart>
  <c:spPr>
    <a:ln w="19050">
      <a:solidFill>
        <a:schemeClr val="tx1">
          <a:lumMod val="50000"/>
          <a:lumOff val="50000"/>
        </a:schemeClr>
      </a:solidFill>
    </a:ln>
  </c:spPr>
  <c:txPr>
    <a:bodyPr/>
    <a:lstStyle/>
    <a:p>
      <a:pPr>
        <a:defRPr>
          <a:latin typeface="Times New Roman"/>
          <a:cs typeface="Times New Roma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85EC-D31A-8A4D-97B0-9B19A9C8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6807</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Peaker</dc:creator>
  <cp:lastModifiedBy>Jaya Jiwatram</cp:lastModifiedBy>
  <cp:revision>2</cp:revision>
  <cp:lastPrinted>2012-08-14T20:08:00Z</cp:lastPrinted>
  <dcterms:created xsi:type="dcterms:W3CDTF">2014-05-14T14:24:00Z</dcterms:created>
  <dcterms:modified xsi:type="dcterms:W3CDTF">2014-05-14T14:24:00Z</dcterms:modified>
</cp:coreProperties>
</file>